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06" w:rsidRPr="00436FAD" w:rsidRDefault="00436FAD" w:rsidP="0021241E">
      <w:pPr>
        <w:pStyle w:val="Title"/>
        <w:pBdr>
          <w:bottom w:val="single" w:sz="8" w:space="4" w:color="743D3D" w:themeColor="accent2" w:themeShade="BF"/>
        </w:pBdr>
        <w:rPr>
          <w:rFonts w:eastAsia="Times New Roman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436FAD">
        <w:rPr>
          <w:rFonts w:eastAsia="Times New Roman"/>
          <w:bdr w:val="none" w:sz="0" w:space="0" w:color="auto" w:frame="1"/>
          <w:shd w:val="clear" w:color="auto" w:fill="FFFFFF"/>
        </w:rPr>
        <w:t>Legal Office</w:t>
      </w:r>
      <w:r w:rsidR="00EB3506" w:rsidRPr="00436FAD">
        <w:rPr>
          <w:rFonts w:eastAsia="Times New Roman"/>
          <w:bdr w:val="none" w:sz="0" w:space="0" w:color="auto" w:frame="1"/>
          <w:shd w:val="clear" w:color="auto" w:fill="FFFFFF"/>
        </w:rPr>
        <w:t xml:space="preserve"> Occupation Cluster</w:t>
      </w:r>
    </w:p>
    <w:p w:rsidR="00EB3506" w:rsidRDefault="00436FAD" w:rsidP="00EB3506">
      <w:pPr>
        <w:pStyle w:val="Subtitle"/>
        <w:spacing w:line="240" w:lineRule="auto"/>
      </w:pPr>
      <w:r>
        <w:rPr>
          <w:color w:val="9C5252" w:themeColor="accent2"/>
        </w:rPr>
        <w:t>San Bernardino, Riverside, Orange, and Los Angeles counties</w:t>
      </w:r>
      <w:r w:rsidR="00EB3506" w:rsidRPr="0021241E">
        <w:rPr>
          <w:color w:val="9C5252" w:themeColor="accent2"/>
        </w:rPr>
        <w:t xml:space="preserve"> </w:t>
      </w:r>
    </w:p>
    <w:p w:rsidR="00EB3506" w:rsidRPr="009E7141" w:rsidRDefault="00EB3506" w:rsidP="00EB3506">
      <w:pPr>
        <w:pStyle w:val="Heading1"/>
        <w:rPr>
          <w:color w:val="76410D" w:themeColor="accent3" w:themeShade="80"/>
        </w:rPr>
      </w:pPr>
      <w:r w:rsidRPr="009E7141">
        <w:rPr>
          <w:color w:val="76410D" w:themeColor="accent3" w:themeShade="80"/>
        </w:rPr>
        <w:t>Occupation Definitions</w:t>
      </w:r>
    </w:p>
    <w:p w:rsidR="00EB3506" w:rsidRPr="006E203F" w:rsidRDefault="00436FAD" w:rsidP="00EB3506">
      <w:r>
        <w:rPr>
          <w:b/>
        </w:rPr>
        <w:t>Paralegals and Legal Assistants (SOC: 23-2011</w:t>
      </w:r>
      <w:r w:rsidR="00EB3506">
        <w:rPr>
          <w:b/>
        </w:rPr>
        <w:t xml:space="preserve">) </w:t>
      </w:r>
      <w:r w:rsidRPr="00436FAD">
        <w:rPr>
          <w:rStyle w:val="Emphasis"/>
          <w:i w:val="0"/>
        </w:rPr>
        <w:t>Assist lawyers by investigating facts, preparing legal documents, or researching legal precedent. Conduct research to support a legal proceeding, to formulate a defen</w:t>
      </w:r>
      <w:r>
        <w:rPr>
          <w:rStyle w:val="Emphasis"/>
          <w:i w:val="0"/>
        </w:rPr>
        <w:t>se, or to initiate legal action</w:t>
      </w:r>
      <w:r w:rsidR="00EB3506">
        <w:rPr>
          <w:rStyle w:val="Emphasis"/>
          <w:i w:val="0"/>
        </w:rPr>
        <w:t>.</w:t>
      </w:r>
    </w:p>
    <w:p w:rsidR="00EB3506" w:rsidRPr="006E203F" w:rsidRDefault="00EB3506" w:rsidP="004E6365">
      <w:r w:rsidRPr="006E203F">
        <w:t xml:space="preserve">Sample of reported job titles: </w:t>
      </w:r>
      <w:r w:rsidR="00436FAD" w:rsidRPr="00436FAD">
        <w:t>Certified Paralegal, Immigration Paralegal, Law Clerk, Legal Analyst, Legal Assistant, Legal Clerk, Paralegal, Paralegal Specialist, Real Estate Paralegal, Summer Law Associate</w:t>
      </w:r>
    </w:p>
    <w:p w:rsidR="004E6365" w:rsidRDefault="00436FAD" w:rsidP="00EB3506">
      <w:r>
        <w:rPr>
          <w:b/>
        </w:rPr>
        <w:t>Legal Secretaries</w:t>
      </w:r>
      <w:r w:rsidR="00EB3506" w:rsidRPr="00B307AB">
        <w:rPr>
          <w:b/>
        </w:rPr>
        <w:t xml:space="preserve"> (SOC: </w:t>
      </w:r>
      <w:r>
        <w:rPr>
          <w:b/>
        </w:rPr>
        <w:t>43-6012</w:t>
      </w:r>
      <w:r w:rsidR="00EB3506">
        <w:t xml:space="preserve">) </w:t>
      </w:r>
      <w:r w:rsidRPr="00436FAD">
        <w:t>Perform secretarial duties using legal terminology, procedures, and documents. Prepare legal papers and correspondence, such as summonses, complaints, motions, and subpoenas. May also assist with legal research.</w:t>
      </w:r>
      <w:r w:rsidR="004E6365">
        <w:t xml:space="preserve"> </w:t>
      </w:r>
    </w:p>
    <w:p w:rsidR="00EB3506" w:rsidRDefault="00EB3506" w:rsidP="00EB3506">
      <w:r>
        <w:t xml:space="preserve">Sample of reported job titles: </w:t>
      </w:r>
      <w:r w:rsidR="00436FAD" w:rsidRPr="00436FAD">
        <w:t>Confidential Secretary, Judicial Administrative Assistant, Legal Administrative Secretary, Legal Assistant, Legal Secretary, Litigation Assistant, Magistrate Assistant, Secretary</w:t>
      </w:r>
      <w:r>
        <w:t xml:space="preserve"> </w:t>
      </w:r>
    </w:p>
    <w:p w:rsidR="006C28EE" w:rsidRPr="009E7141" w:rsidRDefault="00436FAD" w:rsidP="006C28EE">
      <w:pPr>
        <w:pStyle w:val="Heading1"/>
        <w:rPr>
          <w:color w:val="76410D" w:themeColor="accent3" w:themeShade="80"/>
        </w:rPr>
      </w:pPr>
      <w:r>
        <w:rPr>
          <w:color w:val="76410D" w:themeColor="accent3" w:themeShade="80"/>
        </w:rPr>
        <w:t>Legal Office</w:t>
      </w:r>
      <w:r w:rsidR="006C28EE" w:rsidRPr="009E7141">
        <w:rPr>
          <w:color w:val="76410D" w:themeColor="accent3" w:themeShade="80"/>
        </w:rPr>
        <w:t xml:space="preserve"> Occupation Cluster Outlook</w:t>
      </w:r>
    </w:p>
    <w:p w:rsidR="006C28EE" w:rsidRDefault="006C28EE" w:rsidP="00CF449B">
      <w:pPr>
        <w:spacing w:line="360" w:lineRule="auto"/>
      </w:pPr>
      <w:r>
        <w:t>Employment in</w:t>
      </w:r>
      <w:r w:rsidR="00C607C3">
        <w:t xml:space="preserve"> the legal occupation cluster is projected to increase 4% by 2020, adding more than 1,200 new jobs. Nearly 800 job opportunities will be available each year in the </w:t>
      </w:r>
      <w:r w:rsidR="00CF449B">
        <w:t>four</w:t>
      </w:r>
      <w:r w:rsidR="00C607C3">
        <w:t xml:space="preserve">-county region due to new job growth and replacement need. </w:t>
      </w:r>
      <w:r w:rsidR="00CF449B">
        <w:t>S</w:t>
      </w:r>
      <w:r>
        <w:t xml:space="preserve">ee Exhibit 1 for full </w:t>
      </w:r>
      <w:r w:rsidR="00CF449B">
        <w:t xml:space="preserve">employment projections </w:t>
      </w:r>
      <w:r>
        <w:t xml:space="preserve">details. </w:t>
      </w:r>
    </w:p>
    <w:p w:rsidR="00CF449B" w:rsidRDefault="006C28EE" w:rsidP="00CF449B">
      <w:pPr>
        <w:spacing w:line="360" w:lineRule="auto"/>
        <w:rPr>
          <w:rFonts w:eastAsia="Tw Cen MT" w:cs="Times New Roman"/>
        </w:rPr>
      </w:pPr>
      <w:r w:rsidRPr="000537E2">
        <w:lastRenderedPageBreak/>
        <w:t xml:space="preserve">According to Burning Glass, </w:t>
      </w:r>
      <w:r>
        <w:t xml:space="preserve">an online job </w:t>
      </w:r>
      <w:r w:rsidR="00CF449B">
        <w:t>ad</w:t>
      </w:r>
      <w:r>
        <w:t xml:space="preserve"> search resource, </w:t>
      </w:r>
      <w:r w:rsidRPr="000537E2">
        <w:t xml:space="preserve">there were </w:t>
      </w:r>
      <w:r>
        <w:t>a c</w:t>
      </w:r>
      <w:r w:rsidR="002A458C">
        <w:t>ombined 5,653</w:t>
      </w:r>
      <w:r w:rsidR="00A01D26">
        <w:t xml:space="preserve"> </w:t>
      </w:r>
      <w:r w:rsidR="00FE2EB0">
        <w:t>legal office</w:t>
      </w:r>
      <w:r>
        <w:t xml:space="preserve"> occupation cluster job postings</w:t>
      </w:r>
      <w:r w:rsidRPr="000537E2">
        <w:t xml:space="preserve"> </w:t>
      </w:r>
      <w:r w:rsidR="00CF449B">
        <w:t>across</w:t>
      </w:r>
      <w:r w:rsidR="002A458C">
        <w:t xml:space="preserve"> 2015</w:t>
      </w:r>
      <w:r w:rsidR="00CF449B">
        <w:t xml:space="preserve"> in </w:t>
      </w:r>
      <w:r w:rsidR="00CF449B" w:rsidRPr="00CF449B">
        <w:t>San Bernardino, Riverside, Orange, and Los Angeles counties</w:t>
      </w:r>
      <w:r w:rsidR="00CF449B">
        <w:t xml:space="preserve"> combined</w:t>
      </w:r>
      <w:r w:rsidRPr="00CF449B">
        <w:t>.</w:t>
      </w:r>
      <w:r w:rsidRPr="000537E2">
        <w:t xml:space="preserve"> </w:t>
      </w:r>
      <w:r>
        <w:t xml:space="preserve">Job postings included: </w:t>
      </w:r>
      <w:r w:rsidR="002A458C">
        <w:t>3,69</w:t>
      </w:r>
      <w:r w:rsidR="00FE2EB0">
        <w:t>2 paralegals and legal assistants</w:t>
      </w:r>
      <w:r>
        <w:t xml:space="preserve"> and </w:t>
      </w:r>
      <w:r w:rsidR="002A458C">
        <w:t>1,961</w:t>
      </w:r>
      <w:r>
        <w:t xml:space="preserve"> </w:t>
      </w:r>
      <w:r w:rsidR="00FE2EB0">
        <w:t>legal secretaries</w:t>
      </w:r>
      <w:r>
        <w:t xml:space="preserve">. </w:t>
      </w:r>
      <w:r w:rsidR="00FE2EB0">
        <w:t>Paralegal, legal secretary, and legal assistant</w:t>
      </w:r>
      <w:r w:rsidR="0021241E">
        <w:t xml:space="preserve"> </w:t>
      </w:r>
      <w:r>
        <w:t xml:space="preserve">were the most common job titles provided by employers in the online job postings. </w:t>
      </w:r>
      <w:r w:rsidR="00CF449B">
        <w:rPr>
          <w:rFonts w:eastAsia="Tw Cen MT" w:cs="Times New Roman"/>
        </w:rPr>
        <w:t xml:space="preserve">Note: one job posting is not equal to one job opening (e.g. an employer may create multiple job ads for a single opening). </w:t>
      </w:r>
    </w:p>
    <w:p w:rsidR="006C28EE" w:rsidRDefault="006C28EE" w:rsidP="006C28EE"/>
    <w:p w:rsidR="00C36191" w:rsidRDefault="00C36191">
      <w:pPr>
        <w:rPr>
          <w:i/>
          <w:iCs/>
          <w:color w:val="000000" w:themeColor="text1"/>
        </w:rPr>
      </w:pPr>
      <w:r>
        <w:br w:type="page"/>
      </w:r>
    </w:p>
    <w:p w:rsidR="006C28EE" w:rsidRPr="000537E2" w:rsidRDefault="006C28EE" w:rsidP="006C28EE">
      <w:pPr>
        <w:pStyle w:val="Quote"/>
        <w:spacing w:line="360" w:lineRule="auto"/>
      </w:pPr>
      <w:r>
        <w:lastRenderedPageBreak/>
        <w:t xml:space="preserve">Exhibit 1. </w:t>
      </w:r>
      <w:r w:rsidR="00FE2EB0">
        <w:t xml:space="preserve">Legal </w:t>
      </w:r>
      <w:r w:rsidR="00CF449B">
        <w:t>o</w:t>
      </w:r>
      <w:r w:rsidR="00FE2EB0">
        <w:t>ffice</w:t>
      </w:r>
      <w:r>
        <w:t xml:space="preserve"> occupation cluster in </w:t>
      </w:r>
      <w:r w:rsidR="00FE2EB0" w:rsidRPr="00FE2EB0">
        <w:t>San Bernardino, Riverside, Orange, and Los Angeles counties</w:t>
      </w:r>
      <w:r w:rsidR="00CF449B">
        <w:t xml:space="preserve"> combined</w:t>
      </w:r>
      <w:r>
        <w:t xml:space="preserve">, 5-year </w:t>
      </w:r>
      <w:r w:rsidR="00CF449B">
        <w:t>p</w:t>
      </w:r>
      <w:r>
        <w:t>rojections</w:t>
      </w:r>
    </w:p>
    <w:tbl>
      <w:tblPr>
        <w:tblStyle w:val="ListTable3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223"/>
        <w:gridCol w:w="1223"/>
        <w:gridCol w:w="1223"/>
        <w:gridCol w:w="1223"/>
        <w:gridCol w:w="1223"/>
      </w:tblGrid>
      <w:tr w:rsidR="000535D6" w:rsidRPr="006C28EE" w:rsidTr="006D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0" w:type="pct"/>
            <w:vAlign w:val="center"/>
            <w:hideMark/>
          </w:tcPr>
          <w:p w:rsidR="006C28EE" w:rsidRPr="006C28EE" w:rsidRDefault="006C28EE" w:rsidP="00B93D35">
            <w:pPr>
              <w:pStyle w:val="NoSpacing"/>
              <w:jc w:val="center"/>
              <w:rPr>
                <w:rFonts w:ascii="Tw Cen MT" w:eastAsia="Times New Roman" w:hAnsi="Tw Cen MT" w:cs="Arial"/>
                <w:color w:val="FFFFFF"/>
                <w:sz w:val="24"/>
                <w:szCs w:val="24"/>
              </w:rPr>
            </w:pPr>
            <w:r w:rsidRPr="006C28EE">
              <w:rPr>
                <w:rFonts w:ascii="Tw Cen MT" w:eastAsia="Times New Roman" w:hAnsi="Tw Cen MT" w:cs="Arial"/>
                <w:color w:val="FFFFFF"/>
                <w:sz w:val="24"/>
                <w:szCs w:val="24"/>
              </w:rPr>
              <w:t>Occupation</w:t>
            </w:r>
          </w:p>
        </w:tc>
        <w:tc>
          <w:tcPr>
            <w:tcW w:w="654" w:type="pct"/>
            <w:vAlign w:val="center"/>
            <w:hideMark/>
          </w:tcPr>
          <w:p w:rsidR="006C28EE" w:rsidRPr="006C28EE" w:rsidRDefault="006C28EE" w:rsidP="000535D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FFFFFF"/>
                <w:sz w:val="24"/>
                <w:szCs w:val="24"/>
              </w:rPr>
            </w:pPr>
            <w:r w:rsidRPr="006C28EE">
              <w:rPr>
                <w:rFonts w:ascii="Tw Cen MT" w:eastAsia="Times New Roman" w:hAnsi="Tw Cen MT" w:cs="Arial"/>
                <w:color w:val="FFFFFF"/>
                <w:sz w:val="24"/>
                <w:szCs w:val="24"/>
              </w:rPr>
              <w:t>2015 Jobs</w:t>
            </w:r>
          </w:p>
        </w:tc>
        <w:tc>
          <w:tcPr>
            <w:tcW w:w="654" w:type="pct"/>
            <w:vAlign w:val="center"/>
            <w:hideMark/>
          </w:tcPr>
          <w:p w:rsidR="006C28EE" w:rsidRPr="006C28EE" w:rsidRDefault="006C28EE" w:rsidP="000535D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FFFFFF"/>
                <w:sz w:val="24"/>
                <w:szCs w:val="24"/>
              </w:rPr>
            </w:pPr>
            <w:r w:rsidRPr="006C28EE">
              <w:rPr>
                <w:rFonts w:ascii="Tw Cen MT" w:eastAsia="Times New Roman" w:hAnsi="Tw Cen MT" w:cs="Arial"/>
                <w:color w:val="FFFFFF"/>
                <w:sz w:val="24"/>
                <w:szCs w:val="24"/>
              </w:rPr>
              <w:t>2020 Jobs</w:t>
            </w:r>
          </w:p>
        </w:tc>
        <w:tc>
          <w:tcPr>
            <w:tcW w:w="654" w:type="pct"/>
            <w:vAlign w:val="center"/>
            <w:hideMark/>
          </w:tcPr>
          <w:p w:rsidR="006C28EE" w:rsidRPr="006C28EE" w:rsidRDefault="006C28EE" w:rsidP="000535D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FFFFFF"/>
                <w:sz w:val="24"/>
                <w:szCs w:val="24"/>
              </w:rPr>
            </w:pPr>
            <w:r w:rsidRPr="006C28EE">
              <w:rPr>
                <w:rFonts w:ascii="Tw Cen MT" w:eastAsia="Times New Roman" w:hAnsi="Tw Cen MT" w:cs="Arial"/>
                <w:color w:val="FFFFFF"/>
                <w:sz w:val="24"/>
                <w:szCs w:val="24"/>
              </w:rPr>
              <w:t>5-year Change</w:t>
            </w:r>
          </w:p>
        </w:tc>
        <w:tc>
          <w:tcPr>
            <w:tcW w:w="654" w:type="pct"/>
            <w:vAlign w:val="center"/>
            <w:hideMark/>
          </w:tcPr>
          <w:p w:rsidR="006C28EE" w:rsidRPr="006C28EE" w:rsidRDefault="006C28EE" w:rsidP="000535D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FFFFFF"/>
                <w:sz w:val="24"/>
                <w:szCs w:val="24"/>
              </w:rPr>
            </w:pPr>
            <w:r w:rsidRPr="006C28EE">
              <w:rPr>
                <w:rFonts w:ascii="Tw Cen MT" w:eastAsia="Times New Roman" w:hAnsi="Tw Cen MT" w:cs="Arial"/>
                <w:color w:val="FFFFFF"/>
                <w:sz w:val="24"/>
                <w:szCs w:val="24"/>
              </w:rPr>
              <w:t>5-year % Change</w:t>
            </w:r>
          </w:p>
        </w:tc>
        <w:tc>
          <w:tcPr>
            <w:tcW w:w="654" w:type="pct"/>
            <w:vAlign w:val="center"/>
            <w:hideMark/>
          </w:tcPr>
          <w:p w:rsidR="006C28EE" w:rsidRPr="006C28EE" w:rsidRDefault="006C28EE" w:rsidP="000535D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FFFFFF"/>
                <w:sz w:val="24"/>
                <w:szCs w:val="24"/>
              </w:rPr>
            </w:pPr>
            <w:r w:rsidRPr="006C28EE">
              <w:rPr>
                <w:rFonts w:ascii="Tw Cen MT" w:eastAsia="Times New Roman" w:hAnsi="Tw Cen MT" w:cs="Arial"/>
                <w:color w:val="FFFFFF"/>
                <w:sz w:val="24"/>
                <w:szCs w:val="24"/>
              </w:rPr>
              <w:t>Annual Openings</w:t>
            </w:r>
          </w:p>
        </w:tc>
      </w:tr>
      <w:tr w:rsidR="00152A31" w:rsidRPr="006C28EE" w:rsidTr="006D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pct"/>
            <w:noWrap/>
            <w:vAlign w:val="center"/>
          </w:tcPr>
          <w:p w:rsidR="00152A31" w:rsidRPr="000535D6" w:rsidRDefault="00152A31" w:rsidP="00C607C3">
            <w:pPr>
              <w:pStyle w:val="NoSpacing"/>
              <w:rPr>
                <w:rFonts w:ascii="Tw Cen MT" w:eastAsia="Times New Roman" w:hAnsi="Tw Cen MT" w:cs="Arial"/>
                <w:b w:val="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 w:val="0"/>
                <w:sz w:val="24"/>
                <w:szCs w:val="24"/>
              </w:rPr>
              <w:t>Legal Secretaries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15,445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15,603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158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1</w:t>
            </w:r>
            <w:r w:rsidRPr="006C28EE">
              <w:rPr>
                <w:rFonts w:ascii="Tw Cen MT" w:eastAsia="Times New Roman" w:hAnsi="Tw Cen MT" w:cs="Arial"/>
                <w:sz w:val="24"/>
                <w:szCs w:val="24"/>
              </w:rPr>
              <w:t>%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234</w:t>
            </w:r>
          </w:p>
        </w:tc>
      </w:tr>
      <w:tr w:rsidR="00152A31" w:rsidRPr="006C28EE" w:rsidTr="006D1188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pct"/>
            <w:noWrap/>
            <w:vAlign w:val="center"/>
          </w:tcPr>
          <w:p w:rsidR="00152A31" w:rsidRPr="006C28EE" w:rsidRDefault="00152A31" w:rsidP="00C607C3">
            <w:pPr>
              <w:pStyle w:val="NoSpacing"/>
              <w:rPr>
                <w:rFonts w:ascii="Tw Cen MT" w:eastAsia="Times New Roman" w:hAnsi="Tw Cen MT" w:cs="Arial"/>
                <w:b w:val="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 w:val="0"/>
                <w:sz w:val="24"/>
                <w:szCs w:val="24"/>
              </w:rPr>
              <w:t>Paralegals and Legal Assistants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14,612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15,701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1,089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7</w:t>
            </w:r>
            <w:r w:rsidRPr="006C28EE">
              <w:rPr>
                <w:rFonts w:ascii="Tw Cen MT" w:eastAsia="Times New Roman" w:hAnsi="Tw Cen MT" w:cs="Arial"/>
                <w:sz w:val="24"/>
                <w:szCs w:val="24"/>
              </w:rPr>
              <w:t>%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557</w:t>
            </w:r>
          </w:p>
        </w:tc>
      </w:tr>
      <w:tr w:rsidR="00152A31" w:rsidRPr="006C28EE" w:rsidTr="006D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6C28EE">
              <w:rPr>
                <w:rFonts w:ascii="Tw Cen MT" w:eastAsia="Times New Roman" w:hAnsi="Tw Cen MT" w:cs="Arial"/>
                <w:sz w:val="24"/>
                <w:szCs w:val="24"/>
              </w:rPr>
              <w:t>Total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sz w:val="24"/>
                <w:szCs w:val="24"/>
              </w:rPr>
              <w:t>30,057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sz w:val="24"/>
                <w:szCs w:val="24"/>
              </w:rPr>
              <w:t>31,304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sz w:val="24"/>
                <w:szCs w:val="24"/>
              </w:rPr>
              <w:t>1,247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sz w:val="24"/>
                <w:szCs w:val="24"/>
              </w:rPr>
              <w:t>4</w:t>
            </w:r>
            <w:r w:rsidRPr="006C28EE">
              <w:rPr>
                <w:rFonts w:ascii="Tw Cen MT" w:eastAsia="Times New Roman" w:hAnsi="Tw Cen MT" w:cs="Arial"/>
                <w:b/>
                <w:sz w:val="24"/>
                <w:szCs w:val="24"/>
              </w:rPr>
              <w:t>%</w:t>
            </w:r>
          </w:p>
        </w:tc>
        <w:tc>
          <w:tcPr>
            <w:tcW w:w="654" w:type="pct"/>
            <w:noWrap/>
            <w:vAlign w:val="center"/>
          </w:tcPr>
          <w:p w:rsidR="00152A31" w:rsidRPr="006C28EE" w:rsidRDefault="00152A31" w:rsidP="00152A3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sz w:val="24"/>
                <w:szCs w:val="24"/>
              </w:rPr>
              <w:t>791</w:t>
            </w:r>
          </w:p>
        </w:tc>
      </w:tr>
    </w:tbl>
    <w:p w:rsidR="006C28EE" w:rsidRPr="005014F9" w:rsidRDefault="006C28EE" w:rsidP="006C28EE">
      <w:pPr>
        <w:rPr>
          <w:sz w:val="22"/>
          <w:szCs w:val="22"/>
        </w:rPr>
      </w:pPr>
      <w:r w:rsidRPr="005014F9">
        <w:rPr>
          <w:sz w:val="22"/>
          <w:szCs w:val="22"/>
        </w:rPr>
        <w:t>Source: EMSI</w:t>
      </w:r>
      <w:r>
        <w:rPr>
          <w:sz w:val="22"/>
          <w:szCs w:val="22"/>
        </w:rPr>
        <w:t xml:space="preserve"> 2016.4</w:t>
      </w:r>
    </w:p>
    <w:p w:rsidR="009E7141" w:rsidRPr="009E7141" w:rsidRDefault="00FE2EB0" w:rsidP="009E7141">
      <w:pPr>
        <w:pStyle w:val="Heading1"/>
        <w:rPr>
          <w:color w:val="76410D" w:themeColor="accent3" w:themeShade="80"/>
        </w:rPr>
      </w:pPr>
      <w:r>
        <w:rPr>
          <w:color w:val="76410D" w:themeColor="accent3" w:themeShade="80"/>
        </w:rPr>
        <w:t>Legal Office</w:t>
      </w:r>
      <w:r w:rsidR="009E7141" w:rsidRPr="009E7141">
        <w:rPr>
          <w:color w:val="76410D" w:themeColor="accent3" w:themeShade="80"/>
        </w:rPr>
        <w:t xml:space="preserve"> </w:t>
      </w:r>
      <w:r w:rsidR="009E7141">
        <w:rPr>
          <w:color w:val="76410D" w:themeColor="accent3" w:themeShade="80"/>
        </w:rPr>
        <w:t>Employer and Location</w:t>
      </w:r>
    </w:p>
    <w:p w:rsidR="009E7141" w:rsidRPr="00A82E18" w:rsidRDefault="009E7141" w:rsidP="009E7141">
      <w:r>
        <w:t xml:space="preserve">Exhibit 2 lists the top employers and worksite locations for the </w:t>
      </w:r>
      <w:r w:rsidR="00FE2EB0">
        <w:t>legal office occupation cluster in 2016</w:t>
      </w:r>
      <w:r>
        <w:t xml:space="preserve"> from online job </w:t>
      </w:r>
      <w:r w:rsidR="00CF449B">
        <w:t>ads</w:t>
      </w:r>
      <w:r>
        <w:t xml:space="preserve">. </w:t>
      </w:r>
    </w:p>
    <w:p w:rsidR="009E7141" w:rsidRPr="001045BE" w:rsidRDefault="009E7141" w:rsidP="009E7141">
      <w:pPr>
        <w:pStyle w:val="Quote"/>
      </w:pPr>
      <w:r w:rsidRPr="001045BE">
        <w:t>Exhibit</w:t>
      </w:r>
      <w:r>
        <w:t xml:space="preserve"> 2</w:t>
      </w:r>
      <w:r w:rsidRPr="001045BE">
        <w:t>.</w:t>
      </w:r>
      <w:r w:rsidR="00CF449B">
        <w:t xml:space="preserve"> Top</w:t>
      </w:r>
      <w:r w:rsidRPr="001045BE">
        <w:t xml:space="preserve"> </w:t>
      </w:r>
      <w:r w:rsidR="00CF449B">
        <w:t>l</w:t>
      </w:r>
      <w:r w:rsidR="00FE2EB0">
        <w:t xml:space="preserve">egal </w:t>
      </w:r>
      <w:r w:rsidR="00CF449B">
        <w:t>o</w:t>
      </w:r>
      <w:r w:rsidR="00FE2EB0">
        <w:t>ffice</w:t>
      </w:r>
      <w:r>
        <w:t xml:space="preserve"> </w:t>
      </w:r>
      <w:r w:rsidR="00CF449B">
        <w:t xml:space="preserve">occupation </w:t>
      </w:r>
      <w:r>
        <w:t xml:space="preserve">cluster </w:t>
      </w:r>
      <w:r w:rsidR="00CF449B">
        <w:t>e</w:t>
      </w:r>
      <w:r w:rsidR="00CF449B" w:rsidRPr="001045BE">
        <w:t>mploye</w:t>
      </w:r>
      <w:r w:rsidR="00CF449B">
        <w:t>r</w:t>
      </w:r>
      <w:r w:rsidR="00CF449B" w:rsidRPr="001045BE">
        <w:t>s</w:t>
      </w:r>
      <w:r w:rsidRPr="001045BE">
        <w:t xml:space="preserve"> and </w:t>
      </w:r>
      <w:r>
        <w:t>l</w:t>
      </w:r>
      <w:r w:rsidRPr="001045BE">
        <w:t>ocation</w:t>
      </w:r>
      <w:r w:rsidR="00CF449B">
        <w:t>s</w:t>
      </w:r>
      <w:r w:rsidRPr="001045BE">
        <w:t xml:space="preserve"> </w:t>
      </w:r>
      <w:r>
        <w:t xml:space="preserve">in </w:t>
      </w:r>
      <w:r w:rsidR="00FE2EB0" w:rsidRPr="00FE2EB0">
        <w:t>San Bernardino, Riverside, Orange, and Los Angeles counties</w:t>
      </w:r>
      <w:r w:rsidR="00CF449B">
        <w:t xml:space="preserve"> combined</w:t>
      </w:r>
    </w:p>
    <w:tbl>
      <w:tblPr>
        <w:tblStyle w:val="ListTable3-Accent4"/>
        <w:tblW w:w="9560" w:type="dxa"/>
        <w:tblBorders>
          <w:top w:val="single" w:sz="8" w:space="0" w:color="743D3D" w:themeColor="accent2" w:themeShade="BF"/>
          <w:left w:val="single" w:sz="8" w:space="0" w:color="743D3D" w:themeColor="accent2" w:themeShade="BF"/>
          <w:bottom w:val="single" w:sz="8" w:space="0" w:color="743D3D" w:themeColor="accent2" w:themeShade="BF"/>
          <w:right w:val="single" w:sz="8" w:space="0" w:color="743D3D" w:themeColor="accent2" w:themeShade="BF"/>
          <w:insideH w:val="single" w:sz="8" w:space="0" w:color="743D3D" w:themeColor="accent2" w:themeShade="BF"/>
          <w:insideV w:val="single" w:sz="8" w:space="0" w:color="743D3D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421"/>
        <w:gridCol w:w="3421"/>
      </w:tblGrid>
      <w:tr w:rsidR="009E7141" w:rsidRPr="009E7141" w:rsidTr="009E7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9E7141" w:rsidRPr="009E7141" w:rsidRDefault="009E7141" w:rsidP="00B93D35">
            <w:pPr>
              <w:jc w:val="center"/>
              <w:rPr>
                <w:rFonts w:eastAsia="Times New Roman"/>
                <w:bCs w:val="0"/>
              </w:rPr>
            </w:pPr>
            <w:r w:rsidRPr="009E7141">
              <w:rPr>
                <w:rFonts w:eastAsia="Times New Roman"/>
                <w:bCs w:val="0"/>
              </w:rPr>
              <w:t>Occupation</w:t>
            </w:r>
          </w:p>
        </w:tc>
        <w:tc>
          <w:tcPr>
            <w:tcW w:w="3421" w:type="dxa"/>
            <w:vAlign w:val="center"/>
          </w:tcPr>
          <w:p w:rsidR="009E7141" w:rsidRPr="009E7141" w:rsidRDefault="009E7141" w:rsidP="009E7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9E7141">
              <w:rPr>
                <w:rFonts w:eastAsia="Times New Roman"/>
              </w:rPr>
              <w:t>Employer Name</w:t>
            </w:r>
          </w:p>
        </w:tc>
        <w:tc>
          <w:tcPr>
            <w:tcW w:w="3421" w:type="dxa"/>
            <w:vAlign w:val="center"/>
          </w:tcPr>
          <w:p w:rsidR="009E7141" w:rsidRPr="009E7141" w:rsidRDefault="009E7141" w:rsidP="009E7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</w:rPr>
            </w:pPr>
            <w:r w:rsidRPr="009E7141">
              <w:rPr>
                <w:rFonts w:eastAsia="Times New Roman"/>
                <w:bCs w:val="0"/>
              </w:rPr>
              <w:t>Worksite Location (% job postings)</w:t>
            </w:r>
          </w:p>
        </w:tc>
      </w:tr>
      <w:tr w:rsidR="009E7141" w:rsidRPr="009E7141" w:rsidTr="009E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9E7141" w:rsidRPr="009E7141" w:rsidRDefault="00FE2EB0" w:rsidP="006D1188">
            <w:pPr>
              <w:rPr>
                <w:b w:val="0"/>
              </w:rPr>
            </w:pPr>
            <w:r>
              <w:rPr>
                <w:rFonts w:eastAsia="Times New Roman" w:cs="Arial"/>
                <w:b w:val="0"/>
              </w:rPr>
              <w:t>Paralegals and Legal Assistants</w:t>
            </w:r>
          </w:p>
        </w:tc>
        <w:tc>
          <w:tcPr>
            <w:tcW w:w="34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E7141" w:rsidRPr="009E7141" w:rsidRDefault="00FE2EB0" w:rsidP="009E7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Delloite, Deloitte, D3 Legal Search, Llc</w:t>
            </w:r>
          </w:p>
        </w:tc>
        <w:tc>
          <w:tcPr>
            <w:tcW w:w="34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E7141" w:rsidRPr="009E7141" w:rsidRDefault="0020309C" w:rsidP="0020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Los Angeles (54</w:t>
            </w:r>
            <w:r w:rsidR="009E7141" w:rsidRPr="009E7141">
              <w:rPr>
                <w:rFonts w:eastAsia="Times New Roman"/>
              </w:rPr>
              <w:t xml:space="preserve">%), </w:t>
            </w:r>
            <w:r>
              <w:rPr>
                <w:rFonts w:eastAsia="Times New Roman"/>
              </w:rPr>
              <w:t>Irvine (5%), Beverly Hills (5%)</w:t>
            </w:r>
          </w:p>
        </w:tc>
      </w:tr>
      <w:tr w:rsidR="009E7141" w:rsidRPr="009E7141" w:rsidTr="009E7141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none" w:sz="0" w:space="0" w:color="auto"/>
            </w:tcBorders>
            <w:noWrap/>
            <w:vAlign w:val="center"/>
          </w:tcPr>
          <w:p w:rsidR="009E7141" w:rsidRPr="009E7141" w:rsidRDefault="00FE2EB0" w:rsidP="006D1188">
            <w:pPr>
              <w:rPr>
                <w:b w:val="0"/>
              </w:rPr>
            </w:pPr>
            <w:r>
              <w:rPr>
                <w:b w:val="0"/>
              </w:rPr>
              <w:t>Legal Secretaries</w:t>
            </w:r>
          </w:p>
        </w:tc>
        <w:tc>
          <w:tcPr>
            <w:tcW w:w="3421" w:type="dxa"/>
            <w:vAlign w:val="center"/>
          </w:tcPr>
          <w:p w:rsidR="009E7141" w:rsidRPr="009E7141" w:rsidRDefault="0020309C" w:rsidP="009E714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Adams and Martin Group, New York County Lawyers Association, Disney</w:t>
            </w:r>
          </w:p>
        </w:tc>
        <w:tc>
          <w:tcPr>
            <w:tcW w:w="3421" w:type="dxa"/>
            <w:noWrap/>
            <w:vAlign w:val="center"/>
          </w:tcPr>
          <w:p w:rsidR="009E7141" w:rsidRPr="009E7141" w:rsidRDefault="0020309C" w:rsidP="009E714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Los Angeles (56%), Irvine (7%), Glendale (6%)</w:t>
            </w:r>
          </w:p>
        </w:tc>
      </w:tr>
    </w:tbl>
    <w:p w:rsidR="00FB488E" w:rsidRDefault="009E7141" w:rsidP="009E7141">
      <w:pPr>
        <w:pStyle w:val="Heading2"/>
        <w:spacing w:before="0" w:line="240" w:lineRule="auto"/>
        <w:rPr>
          <w:rFonts w:ascii="Tw Cen MT" w:hAnsi="Tw Cen MT"/>
          <w:b w:val="0"/>
          <w:color w:val="auto"/>
          <w:sz w:val="22"/>
          <w:szCs w:val="22"/>
        </w:rPr>
      </w:pPr>
      <w:r w:rsidRPr="00A82E18">
        <w:rPr>
          <w:rFonts w:ascii="Tw Cen MT" w:hAnsi="Tw Cen MT"/>
          <w:b w:val="0"/>
          <w:color w:val="auto"/>
          <w:sz w:val="22"/>
          <w:szCs w:val="22"/>
        </w:rPr>
        <w:t>Source: Burning Glass</w:t>
      </w:r>
    </w:p>
    <w:p w:rsidR="009E7141" w:rsidRPr="00FB488E" w:rsidRDefault="00FB488E" w:rsidP="00FB488E">
      <w:pPr>
        <w:rPr>
          <w:rFonts w:eastAsiaTheme="majorEastAsia" w:cstheme="majorBidi"/>
        </w:rPr>
      </w:pPr>
      <w:r>
        <w:br w:type="page"/>
      </w:r>
    </w:p>
    <w:p w:rsidR="00B458AF" w:rsidRDefault="00B458AF" w:rsidP="00B458AF">
      <w:pPr>
        <w:pStyle w:val="Heading1"/>
      </w:pPr>
      <w:r w:rsidRPr="00B458AF">
        <w:rPr>
          <w:color w:val="76410D" w:themeColor="accent3" w:themeShade="80"/>
        </w:rPr>
        <w:lastRenderedPageBreak/>
        <w:t>Earnings</w:t>
      </w:r>
    </w:p>
    <w:p w:rsidR="00B458AF" w:rsidRDefault="00B458AF" w:rsidP="00B458AF">
      <w:r>
        <w:t xml:space="preserve">Exhibit 3 lists the entry level, median, and experienced earnings for occupations in the </w:t>
      </w:r>
      <w:r w:rsidR="0020309C">
        <w:t>legal office</w:t>
      </w:r>
      <w:r>
        <w:t xml:space="preserve"> cluster. The </w:t>
      </w:r>
      <w:r w:rsidR="006D1188">
        <w:t>median</w:t>
      </w:r>
      <w:r>
        <w:t xml:space="preserve"> wage for </w:t>
      </w:r>
      <w:r w:rsidR="00CF449B">
        <w:t>both</w:t>
      </w:r>
      <w:r>
        <w:t xml:space="preserve"> occupations in this cluster exceed the living wage per hour f</w:t>
      </w:r>
      <w:r w:rsidR="006D1188">
        <w:t xml:space="preserve">or a single adult living in all four counties </w:t>
      </w:r>
      <w:r>
        <w:t>according the MIT Living Wage Calculator</w:t>
      </w:r>
      <w:r w:rsidR="006D1188">
        <w:t xml:space="preserve"> (Los Angeles</w:t>
      </w:r>
      <w:r w:rsidR="00CC46A1">
        <w:t xml:space="preserve"> -</w:t>
      </w:r>
      <w:r w:rsidR="006D1188">
        <w:t xml:space="preserve"> $12.56 per hour, Orange</w:t>
      </w:r>
      <w:r w:rsidR="00CC46A1">
        <w:t xml:space="preserve"> -</w:t>
      </w:r>
      <w:r w:rsidR="006D1188">
        <w:t xml:space="preserve"> $13.89 per hour, San Bernardino and Riverside County</w:t>
      </w:r>
      <w:r w:rsidR="00CC46A1">
        <w:t xml:space="preserve"> -</w:t>
      </w:r>
      <w:r w:rsidR="006D1188">
        <w:t xml:space="preserve"> $11.75 per hour)</w:t>
      </w:r>
      <w:r>
        <w:t xml:space="preserve">. </w:t>
      </w:r>
    </w:p>
    <w:p w:rsidR="00B458AF" w:rsidRPr="00A96BF3" w:rsidRDefault="00B458AF" w:rsidP="00B458AF">
      <w:pPr>
        <w:pStyle w:val="Quote"/>
      </w:pPr>
      <w:r>
        <w:t>Exhibit 3</w:t>
      </w:r>
      <w:r w:rsidRPr="00A96BF3">
        <w:t xml:space="preserve">. </w:t>
      </w:r>
      <w:r w:rsidR="006D1188">
        <w:t>Average e</w:t>
      </w:r>
      <w:r>
        <w:t>arnings</w:t>
      </w:r>
      <w:r w:rsidRPr="00A96BF3">
        <w:t xml:space="preserve"> for the </w:t>
      </w:r>
      <w:r w:rsidR="0020309C">
        <w:t>legal office</w:t>
      </w:r>
      <w:r>
        <w:t xml:space="preserve"> occupation cluster in </w:t>
      </w:r>
      <w:r w:rsidR="0020309C" w:rsidRPr="00FE2EB0">
        <w:t>San Bernardino, Riverside, Orange, and Los Angeles counties</w:t>
      </w:r>
      <w:r w:rsidR="00CF449B">
        <w:t xml:space="preserve"> combined</w:t>
      </w:r>
    </w:p>
    <w:tbl>
      <w:tblPr>
        <w:tblStyle w:val="ListTable3-Accent4"/>
        <w:tblW w:w="9540" w:type="dxa"/>
        <w:tblBorders>
          <w:top w:val="single" w:sz="8" w:space="0" w:color="743D3D" w:themeColor="accent2" w:themeShade="BF"/>
          <w:left w:val="single" w:sz="8" w:space="0" w:color="743D3D" w:themeColor="accent2" w:themeShade="BF"/>
          <w:bottom w:val="single" w:sz="8" w:space="0" w:color="743D3D" w:themeColor="accent2" w:themeShade="BF"/>
          <w:right w:val="single" w:sz="8" w:space="0" w:color="743D3D" w:themeColor="accent2" w:themeShade="BF"/>
          <w:insideH w:val="single" w:sz="8" w:space="0" w:color="743D3D" w:themeColor="accent2" w:themeShade="BF"/>
          <w:insideV w:val="single" w:sz="8" w:space="0" w:color="743D3D" w:themeColor="accent2" w:themeShade="BF"/>
        </w:tblBorders>
        <w:tblLook w:val="04A0" w:firstRow="1" w:lastRow="0" w:firstColumn="1" w:lastColumn="0" w:noHBand="0" w:noVBand="1"/>
      </w:tblPr>
      <w:tblGrid>
        <w:gridCol w:w="2844"/>
        <w:gridCol w:w="1674"/>
        <w:gridCol w:w="1674"/>
        <w:gridCol w:w="1674"/>
        <w:gridCol w:w="1674"/>
      </w:tblGrid>
      <w:tr w:rsidR="00B458AF" w:rsidRPr="00B458AF" w:rsidTr="00B4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4" w:type="dxa"/>
            <w:vAlign w:val="center"/>
            <w:hideMark/>
          </w:tcPr>
          <w:p w:rsidR="00B458AF" w:rsidRPr="00B458AF" w:rsidRDefault="00B458AF" w:rsidP="00B93D35">
            <w:pPr>
              <w:jc w:val="center"/>
              <w:rPr>
                <w:rFonts w:eastAsia="Times New Roman"/>
                <w:bCs w:val="0"/>
              </w:rPr>
            </w:pPr>
            <w:r w:rsidRPr="00B458AF">
              <w:rPr>
                <w:rFonts w:eastAsia="Times New Roman"/>
                <w:bCs w:val="0"/>
              </w:rPr>
              <w:t>Occupation</w:t>
            </w:r>
          </w:p>
        </w:tc>
        <w:tc>
          <w:tcPr>
            <w:tcW w:w="1674" w:type="dxa"/>
            <w:vAlign w:val="center"/>
          </w:tcPr>
          <w:p w:rsidR="00B458AF" w:rsidRPr="00B458AF" w:rsidRDefault="00B458AF" w:rsidP="00B45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458AF">
              <w:rPr>
                <w:rFonts w:eastAsia="Times New Roman"/>
              </w:rPr>
              <w:t>Entry Hourly</w:t>
            </w:r>
          </w:p>
          <w:p w:rsidR="00B458AF" w:rsidRPr="00B458AF" w:rsidRDefault="00B458AF" w:rsidP="00B45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458AF">
              <w:rPr>
                <w:rFonts w:eastAsia="Times New Roman"/>
              </w:rPr>
              <w:t>Earnings</w:t>
            </w:r>
          </w:p>
        </w:tc>
        <w:tc>
          <w:tcPr>
            <w:tcW w:w="1674" w:type="dxa"/>
            <w:vAlign w:val="center"/>
            <w:hideMark/>
          </w:tcPr>
          <w:p w:rsidR="00B458AF" w:rsidRPr="00B458AF" w:rsidRDefault="00B458AF" w:rsidP="00B45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</w:rPr>
            </w:pPr>
            <w:r w:rsidRPr="00B458AF">
              <w:rPr>
                <w:rFonts w:eastAsia="Times New Roman"/>
                <w:bCs w:val="0"/>
              </w:rPr>
              <w:t>Median Hourly Earnings</w:t>
            </w:r>
          </w:p>
        </w:tc>
        <w:tc>
          <w:tcPr>
            <w:tcW w:w="1674" w:type="dxa"/>
            <w:vAlign w:val="center"/>
          </w:tcPr>
          <w:p w:rsidR="00B458AF" w:rsidRPr="00B458AF" w:rsidRDefault="00B458AF" w:rsidP="00B45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458AF">
              <w:rPr>
                <w:rFonts w:eastAsia="Times New Roman"/>
              </w:rPr>
              <w:t>Experienced Hourly Earnings</w:t>
            </w:r>
          </w:p>
        </w:tc>
        <w:tc>
          <w:tcPr>
            <w:tcW w:w="1674" w:type="dxa"/>
            <w:vAlign w:val="center"/>
          </w:tcPr>
          <w:p w:rsidR="00B458AF" w:rsidRPr="00B458AF" w:rsidRDefault="00B458AF" w:rsidP="00B45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</w:rPr>
            </w:pPr>
            <w:r w:rsidRPr="00B458AF">
              <w:rPr>
                <w:rFonts w:eastAsia="Times New Roman"/>
                <w:bCs w:val="0"/>
              </w:rPr>
              <w:t>Avg. Annual Salary</w:t>
            </w:r>
          </w:p>
        </w:tc>
      </w:tr>
      <w:tr w:rsidR="00B458AF" w:rsidRPr="00B458AF" w:rsidTr="00B4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458AF" w:rsidRPr="00B458AF" w:rsidRDefault="0020309C" w:rsidP="006D1188">
            <w:pPr>
              <w:rPr>
                <w:b w:val="0"/>
              </w:rPr>
            </w:pPr>
            <w:r>
              <w:rPr>
                <w:rFonts w:eastAsia="Times New Roman" w:cs="Arial"/>
                <w:b w:val="0"/>
              </w:rPr>
              <w:t>Paralegals and Legal Assistants</w:t>
            </w:r>
          </w:p>
        </w:tc>
        <w:tc>
          <w:tcPr>
            <w:tcW w:w="16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58AF" w:rsidRPr="00B458AF" w:rsidRDefault="0020309C" w:rsidP="00B4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$13.60</w:t>
            </w:r>
          </w:p>
        </w:tc>
        <w:tc>
          <w:tcPr>
            <w:tcW w:w="16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B458AF" w:rsidRPr="00B458AF" w:rsidRDefault="0020309C" w:rsidP="00B4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$26</w:t>
            </w:r>
            <w:r w:rsidR="00B458A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4</w:t>
            </w:r>
            <w:r w:rsidR="00B458AF" w:rsidRPr="00B458AF">
              <w:rPr>
                <w:rFonts w:eastAsia="Times New Roman"/>
              </w:rPr>
              <w:t>2</w:t>
            </w:r>
          </w:p>
        </w:tc>
        <w:tc>
          <w:tcPr>
            <w:tcW w:w="16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58AF" w:rsidRPr="00B458AF" w:rsidRDefault="0020309C" w:rsidP="00B4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$43.88</w:t>
            </w:r>
          </w:p>
        </w:tc>
        <w:tc>
          <w:tcPr>
            <w:tcW w:w="16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58AF" w:rsidRPr="00B458AF" w:rsidRDefault="0020309C" w:rsidP="00B4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$57,138</w:t>
            </w:r>
          </w:p>
        </w:tc>
      </w:tr>
      <w:tr w:rsidR="00B458AF" w:rsidRPr="00B458AF" w:rsidTr="00B458AF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right w:val="none" w:sz="0" w:space="0" w:color="auto"/>
            </w:tcBorders>
            <w:noWrap/>
            <w:vAlign w:val="center"/>
          </w:tcPr>
          <w:p w:rsidR="00B458AF" w:rsidRPr="00B458AF" w:rsidRDefault="0020309C" w:rsidP="006D1188">
            <w:pPr>
              <w:rPr>
                <w:b w:val="0"/>
              </w:rPr>
            </w:pPr>
            <w:r>
              <w:rPr>
                <w:b w:val="0"/>
              </w:rPr>
              <w:t>Legal Secretaries</w:t>
            </w:r>
          </w:p>
        </w:tc>
        <w:tc>
          <w:tcPr>
            <w:tcW w:w="1674" w:type="dxa"/>
            <w:vAlign w:val="center"/>
          </w:tcPr>
          <w:p w:rsidR="00B458AF" w:rsidRPr="00B458AF" w:rsidRDefault="0020309C" w:rsidP="00B45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$13</w:t>
            </w:r>
            <w:r w:rsidR="00B458A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64</w:t>
            </w:r>
          </w:p>
        </w:tc>
        <w:tc>
          <w:tcPr>
            <w:tcW w:w="1674" w:type="dxa"/>
            <w:noWrap/>
            <w:vAlign w:val="center"/>
          </w:tcPr>
          <w:p w:rsidR="00B458AF" w:rsidRPr="00B458AF" w:rsidRDefault="0020309C" w:rsidP="00B45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$23.68</w:t>
            </w:r>
          </w:p>
        </w:tc>
        <w:tc>
          <w:tcPr>
            <w:tcW w:w="1674" w:type="dxa"/>
            <w:vAlign w:val="center"/>
          </w:tcPr>
          <w:p w:rsidR="00B458AF" w:rsidRPr="00B458AF" w:rsidRDefault="0020309C" w:rsidP="00B45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$37.51</w:t>
            </w:r>
          </w:p>
        </w:tc>
        <w:tc>
          <w:tcPr>
            <w:tcW w:w="1674" w:type="dxa"/>
            <w:vAlign w:val="center"/>
          </w:tcPr>
          <w:p w:rsidR="00B458AF" w:rsidRPr="00B458AF" w:rsidRDefault="0020309C" w:rsidP="00B45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$51,501</w:t>
            </w:r>
          </w:p>
        </w:tc>
      </w:tr>
      <w:tr w:rsidR="00B458AF" w:rsidRPr="00B458AF" w:rsidTr="00B4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right w:val="none" w:sz="0" w:space="0" w:color="auto"/>
            </w:tcBorders>
            <w:noWrap/>
            <w:vAlign w:val="center"/>
            <w:hideMark/>
          </w:tcPr>
          <w:p w:rsidR="00B458AF" w:rsidRPr="00B458AF" w:rsidRDefault="00B458AF" w:rsidP="00B458AF">
            <w:pPr>
              <w:jc w:val="center"/>
              <w:rPr>
                <w:rFonts w:eastAsia="Times New Roman"/>
                <w:color w:val="1C1C1C"/>
              </w:rPr>
            </w:pPr>
            <w:r w:rsidRPr="00B458AF">
              <w:rPr>
                <w:rFonts w:eastAsia="Times New Roman"/>
                <w:color w:val="1C1C1C"/>
              </w:rPr>
              <w:t>Averages</w:t>
            </w:r>
          </w:p>
        </w:tc>
        <w:tc>
          <w:tcPr>
            <w:tcW w:w="1674" w:type="dxa"/>
            <w:vAlign w:val="center"/>
          </w:tcPr>
          <w:p w:rsidR="00B458AF" w:rsidRPr="00B458AF" w:rsidRDefault="0020309C" w:rsidP="00B4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$13.62</w:t>
            </w:r>
          </w:p>
        </w:tc>
        <w:tc>
          <w:tcPr>
            <w:tcW w:w="1674" w:type="dxa"/>
            <w:noWrap/>
            <w:vAlign w:val="center"/>
          </w:tcPr>
          <w:p w:rsidR="00B458AF" w:rsidRPr="00B458AF" w:rsidRDefault="0020309C" w:rsidP="00B4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$25</w:t>
            </w:r>
            <w:r w:rsidR="00B458AF">
              <w:rPr>
                <w:rFonts w:eastAsia="Times New Roman"/>
                <w:b/>
                <w:bCs/>
              </w:rPr>
              <w:t>.0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674" w:type="dxa"/>
            <w:vAlign w:val="center"/>
          </w:tcPr>
          <w:p w:rsidR="00B458AF" w:rsidRPr="00B458AF" w:rsidRDefault="0020309C" w:rsidP="00B4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$40.61</w:t>
            </w:r>
          </w:p>
        </w:tc>
        <w:tc>
          <w:tcPr>
            <w:tcW w:w="1674" w:type="dxa"/>
            <w:vAlign w:val="center"/>
          </w:tcPr>
          <w:p w:rsidR="00B458AF" w:rsidRPr="00B458AF" w:rsidRDefault="00B458AF" w:rsidP="00B4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B458AF">
              <w:rPr>
                <w:rFonts w:eastAsia="Times New Roman"/>
                <w:b/>
                <w:bCs/>
              </w:rPr>
              <w:t>$</w:t>
            </w:r>
            <w:r w:rsidR="0020309C">
              <w:rPr>
                <w:rFonts w:eastAsia="Times New Roman"/>
                <w:b/>
                <w:bCs/>
              </w:rPr>
              <w:t>54,</w:t>
            </w:r>
            <w:r>
              <w:rPr>
                <w:rFonts w:eastAsia="Times New Roman"/>
                <w:b/>
                <w:bCs/>
              </w:rPr>
              <w:t>2</w:t>
            </w:r>
            <w:r w:rsidR="0020309C">
              <w:rPr>
                <w:rFonts w:eastAsia="Times New Roman"/>
                <w:b/>
                <w:bCs/>
              </w:rPr>
              <w:t>46</w:t>
            </w:r>
          </w:p>
        </w:tc>
      </w:tr>
    </w:tbl>
    <w:p w:rsidR="00B458AF" w:rsidRPr="00C36191" w:rsidRDefault="00B458AF" w:rsidP="00B458AF">
      <w:pPr>
        <w:rPr>
          <w:sz w:val="22"/>
          <w:szCs w:val="22"/>
        </w:rPr>
      </w:pPr>
      <w:r w:rsidRPr="0001335A">
        <w:rPr>
          <w:sz w:val="22"/>
          <w:szCs w:val="22"/>
        </w:rPr>
        <w:t>Source: EMSI 2016.4 Class of Worker. Entry hourly earnings is 10</w:t>
      </w:r>
      <w:r w:rsidRPr="0001335A">
        <w:rPr>
          <w:sz w:val="22"/>
          <w:szCs w:val="22"/>
          <w:vertAlign w:val="superscript"/>
        </w:rPr>
        <w:t>th</w:t>
      </w:r>
      <w:r w:rsidRPr="0001335A">
        <w:rPr>
          <w:sz w:val="22"/>
          <w:szCs w:val="22"/>
        </w:rPr>
        <w:t xml:space="preserve"> percentile, experienced hourly earnings is 90</w:t>
      </w:r>
      <w:r w:rsidRPr="0001335A">
        <w:rPr>
          <w:sz w:val="22"/>
          <w:szCs w:val="22"/>
          <w:vertAlign w:val="superscript"/>
        </w:rPr>
        <w:t>th</w:t>
      </w:r>
      <w:r w:rsidRPr="0001335A">
        <w:rPr>
          <w:sz w:val="22"/>
          <w:szCs w:val="22"/>
        </w:rPr>
        <w:t xml:space="preserve"> percentile. </w:t>
      </w:r>
    </w:p>
    <w:p w:rsidR="00307189" w:rsidRPr="00307189" w:rsidRDefault="00307189" w:rsidP="00307189">
      <w:pPr>
        <w:pStyle w:val="Heading1"/>
        <w:rPr>
          <w:color w:val="76410D" w:themeColor="accent3" w:themeShade="80"/>
        </w:rPr>
      </w:pPr>
      <w:r w:rsidRPr="00307189">
        <w:rPr>
          <w:color w:val="76410D" w:themeColor="accent3" w:themeShade="80"/>
        </w:rPr>
        <w:t xml:space="preserve">Education and Training </w:t>
      </w:r>
    </w:p>
    <w:p w:rsidR="00307189" w:rsidRDefault="00307189" w:rsidP="00307189">
      <w:pPr>
        <w:rPr>
          <w:bdr w:val="none" w:sz="0" w:space="0" w:color="auto" w:frame="1"/>
          <w:shd w:val="clear" w:color="auto" w:fill="FFFFFF"/>
        </w:rPr>
      </w:pPr>
      <w:r w:rsidRPr="000537E2">
        <w:rPr>
          <w:bdr w:val="none" w:sz="0" w:space="0" w:color="auto" w:frame="1"/>
          <w:shd w:val="clear" w:color="auto" w:fill="FFFFFF"/>
        </w:rPr>
        <w:t xml:space="preserve">The typical entry level of education required for </w:t>
      </w:r>
      <w:r w:rsidR="00C80E52">
        <w:rPr>
          <w:rFonts w:eastAsia="Times New Roman"/>
          <w:bdr w:val="none" w:sz="0" w:space="0" w:color="auto" w:frame="1"/>
          <w:shd w:val="clear" w:color="auto" w:fill="FFFFFF"/>
        </w:rPr>
        <w:t>paralegals and legal assistants</w:t>
      </w:r>
      <w:r w:rsidRPr="000537E2">
        <w:rPr>
          <w:rFonts w:eastAsia="Times New Roman"/>
          <w:bdr w:val="none" w:sz="0" w:space="0" w:color="auto" w:frame="1"/>
          <w:shd w:val="clear" w:color="auto" w:fill="FFFFFF"/>
        </w:rPr>
        <w:t xml:space="preserve"> </w:t>
      </w:r>
      <w:r w:rsidRPr="000537E2">
        <w:rPr>
          <w:bdr w:val="none" w:sz="0" w:space="0" w:color="auto" w:frame="1"/>
          <w:shd w:val="clear" w:color="auto" w:fill="FFFFFF"/>
        </w:rPr>
        <w:t xml:space="preserve">is </w:t>
      </w:r>
      <w:r w:rsidR="00C80E52">
        <w:rPr>
          <w:bdr w:val="none" w:sz="0" w:space="0" w:color="auto" w:frame="1"/>
          <w:shd w:val="clear" w:color="auto" w:fill="FFFFFF"/>
        </w:rPr>
        <w:t xml:space="preserve">an </w:t>
      </w:r>
      <w:r w:rsidR="00B93D35">
        <w:rPr>
          <w:bdr w:val="none" w:sz="0" w:space="0" w:color="auto" w:frame="1"/>
          <w:shd w:val="clear" w:color="auto" w:fill="FFFFFF"/>
        </w:rPr>
        <w:t>A</w:t>
      </w:r>
      <w:r w:rsidR="00C80E52">
        <w:rPr>
          <w:bdr w:val="none" w:sz="0" w:space="0" w:color="auto" w:frame="1"/>
          <w:shd w:val="clear" w:color="auto" w:fill="FFFFFF"/>
        </w:rPr>
        <w:t>ssociate’s degree</w:t>
      </w:r>
      <w:r w:rsidR="00F310E3">
        <w:rPr>
          <w:bdr w:val="none" w:sz="0" w:space="0" w:color="auto" w:frame="1"/>
          <w:shd w:val="clear" w:color="auto" w:fill="FFFFFF"/>
        </w:rPr>
        <w:t xml:space="preserve"> with </w:t>
      </w:r>
      <w:r w:rsidR="00C80E52">
        <w:rPr>
          <w:bdr w:val="none" w:sz="0" w:space="0" w:color="auto" w:frame="1"/>
          <w:shd w:val="clear" w:color="auto" w:fill="FFFFFF"/>
        </w:rPr>
        <w:t>no</w:t>
      </w:r>
      <w:r>
        <w:rPr>
          <w:bdr w:val="none" w:sz="0" w:space="0" w:color="auto" w:frame="1"/>
          <w:shd w:val="clear" w:color="auto" w:fill="FFFFFF"/>
        </w:rPr>
        <w:t xml:space="preserve"> on-the-job training. </w:t>
      </w:r>
      <w:r w:rsidRPr="005014F9">
        <w:rPr>
          <w:bdr w:val="none" w:sz="0" w:space="0" w:color="auto" w:frame="1"/>
          <w:shd w:val="clear" w:color="auto" w:fill="FFFFFF"/>
        </w:rPr>
        <w:t xml:space="preserve">The typical entry level of education required for </w:t>
      </w:r>
      <w:r w:rsidR="00C80E52">
        <w:rPr>
          <w:bdr w:val="none" w:sz="0" w:space="0" w:color="auto" w:frame="1"/>
          <w:shd w:val="clear" w:color="auto" w:fill="FFFFFF"/>
        </w:rPr>
        <w:t>legal secretaries is</w:t>
      </w:r>
      <w:r w:rsidRPr="005014F9">
        <w:rPr>
          <w:bdr w:val="none" w:sz="0" w:space="0" w:color="auto" w:frame="1"/>
          <w:shd w:val="clear" w:color="auto" w:fill="FFFFFF"/>
        </w:rPr>
        <w:t xml:space="preserve"> a high school diploma or equivalent</w:t>
      </w:r>
      <w:r>
        <w:rPr>
          <w:bdr w:val="none" w:sz="0" w:space="0" w:color="auto" w:frame="1"/>
          <w:shd w:val="clear" w:color="auto" w:fill="FFFFFF"/>
        </w:rPr>
        <w:t xml:space="preserve"> with one to 12 month</w:t>
      </w:r>
      <w:r w:rsidR="00F310E3">
        <w:rPr>
          <w:bdr w:val="none" w:sz="0" w:space="0" w:color="auto" w:frame="1"/>
          <w:shd w:val="clear" w:color="auto" w:fill="FFFFFF"/>
        </w:rPr>
        <w:t>s</w:t>
      </w:r>
      <w:r>
        <w:rPr>
          <w:bdr w:val="none" w:sz="0" w:space="0" w:color="auto" w:frame="1"/>
          <w:shd w:val="clear" w:color="auto" w:fill="FFFFFF"/>
        </w:rPr>
        <w:t xml:space="preserve"> on-the job training</w:t>
      </w:r>
      <w:r w:rsidRPr="005014F9">
        <w:rPr>
          <w:bdr w:val="none" w:sz="0" w:space="0" w:color="auto" w:frame="1"/>
          <w:shd w:val="clear" w:color="auto" w:fill="FFFFFF"/>
        </w:rPr>
        <w:t>.</w:t>
      </w:r>
      <w:r>
        <w:rPr>
          <w:bdr w:val="none" w:sz="0" w:space="0" w:color="auto" w:frame="1"/>
          <w:shd w:val="clear" w:color="auto" w:fill="FFFFFF"/>
        </w:rPr>
        <w:t xml:space="preserve"> Education</w:t>
      </w:r>
      <w:r w:rsidRPr="005014F9">
        <w:rPr>
          <w:bdr w:val="none" w:sz="0" w:space="0" w:color="auto" w:frame="1"/>
          <w:shd w:val="clear" w:color="auto" w:fill="FFFFFF"/>
        </w:rPr>
        <w:t xml:space="preserve"> and training are displayed in Exhibit </w:t>
      </w:r>
      <w:r>
        <w:rPr>
          <w:bdr w:val="none" w:sz="0" w:space="0" w:color="auto" w:frame="1"/>
          <w:shd w:val="clear" w:color="auto" w:fill="FFFFFF"/>
        </w:rPr>
        <w:t>4</w:t>
      </w:r>
      <w:r w:rsidRPr="005014F9">
        <w:rPr>
          <w:bdr w:val="none" w:sz="0" w:space="0" w:color="auto" w:frame="1"/>
          <w:shd w:val="clear" w:color="auto" w:fill="FFFFFF"/>
        </w:rPr>
        <w:t>.</w:t>
      </w:r>
    </w:p>
    <w:p w:rsidR="00307189" w:rsidRPr="00566E5C" w:rsidRDefault="00307189" w:rsidP="00307189">
      <w:pPr>
        <w:pStyle w:val="Quote"/>
      </w:pPr>
      <w:r>
        <w:t>Exhibit 4</w:t>
      </w:r>
      <w:r w:rsidRPr="00A96BF3">
        <w:t xml:space="preserve">. </w:t>
      </w:r>
      <w:r>
        <w:t>M</w:t>
      </w:r>
      <w:r w:rsidRPr="00A96BF3">
        <w:t xml:space="preserve">inimum education requirements </w:t>
      </w:r>
      <w:r>
        <w:t xml:space="preserve">for </w:t>
      </w:r>
      <w:r w:rsidR="0020309C">
        <w:t>legal office</w:t>
      </w:r>
      <w:r>
        <w:t xml:space="preserve"> occupation cluster </w:t>
      </w:r>
      <w:r w:rsidRPr="00A96BF3">
        <w:t xml:space="preserve">in </w:t>
      </w:r>
      <w:r w:rsidR="0020309C" w:rsidRPr="0020309C">
        <w:t>San Bernardino, Riverside, Orange, and Los Angeles counties</w:t>
      </w:r>
    </w:p>
    <w:tbl>
      <w:tblPr>
        <w:tblStyle w:val="ListTable3-Accent4"/>
        <w:tblW w:w="0" w:type="auto"/>
        <w:tblBorders>
          <w:top w:val="single" w:sz="8" w:space="0" w:color="743D3D" w:themeColor="accent2" w:themeShade="BF"/>
          <w:left w:val="single" w:sz="8" w:space="0" w:color="743D3D" w:themeColor="accent2" w:themeShade="BF"/>
          <w:bottom w:val="single" w:sz="8" w:space="0" w:color="743D3D" w:themeColor="accent2" w:themeShade="BF"/>
          <w:right w:val="single" w:sz="8" w:space="0" w:color="743D3D" w:themeColor="accent2" w:themeShade="BF"/>
          <w:insideH w:val="single" w:sz="8" w:space="0" w:color="743D3D" w:themeColor="accent2" w:themeShade="BF"/>
          <w:insideV w:val="single" w:sz="8" w:space="0" w:color="743D3D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2186"/>
        <w:gridCol w:w="2187"/>
        <w:gridCol w:w="2187"/>
      </w:tblGrid>
      <w:tr w:rsidR="00307189" w:rsidRPr="00307189" w:rsidTr="006D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0" w:type="dxa"/>
            <w:vMerge w:val="restart"/>
            <w:vAlign w:val="center"/>
            <w:hideMark/>
          </w:tcPr>
          <w:p w:rsidR="00307189" w:rsidRPr="00307189" w:rsidRDefault="00307189" w:rsidP="00B93D35">
            <w:pPr>
              <w:jc w:val="center"/>
              <w:rPr>
                <w:rFonts w:eastAsia="Times New Roman"/>
                <w:bCs w:val="0"/>
              </w:rPr>
            </w:pPr>
            <w:r w:rsidRPr="00307189">
              <w:rPr>
                <w:rFonts w:eastAsia="Times New Roman"/>
                <w:bCs w:val="0"/>
              </w:rPr>
              <w:lastRenderedPageBreak/>
              <w:t>Occupation</w:t>
            </w:r>
          </w:p>
        </w:tc>
        <w:tc>
          <w:tcPr>
            <w:tcW w:w="2186" w:type="dxa"/>
            <w:vMerge w:val="restart"/>
            <w:vAlign w:val="center"/>
          </w:tcPr>
          <w:p w:rsidR="00307189" w:rsidRPr="00307189" w:rsidRDefault="00307189" w:rsidP="00307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07189">
              <w:rPr>
                <w:rFonts w:eastAsia="Times New Roman"/>
              </w:rPr>
              <w:t>Typical Entry Level Education</w:t>
            </w:r>
          </w:p>
        </w:tc>
        <w:tc>
          <w:tcPr>
            <w:tcW w:w="2187" w:type="dxa"/>
            <w:vMerge w:val="restart"/>
            <w:vAlign w:val="center"/>
          </w:tcPr>
          <w:p w:rsidR="00307189" w:rsidRPr="00307189" w:rsidRDefault="00307189" w:rsidP="00307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</w:rPr>
            </w:pPr>
            <w:r w:rsidRPr="00307189">
              <w:rPr>
                <w:rFonts w:eastAsia="Times New Roman"/>
                <w:bCs w:val="0"/>
              </w:rPr>
              <w:t>Typical On-The-Job Training</w:t>
            </w:r>
          </w:p>
        </w:tc>
        <w:tc>
          <w:tcPr>
            <w:tcW w:w="2187" w:type="dxa"/>
            <w:vMerge w:val="restart"/>
            <w:vAlign w:val="center"/>
          </w:tcPr>
          <w:p w:rsidR="00307189" w:rsidRPr="00307189" w:rsidRDefault="00307189" w:rsidP="00307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</w:rPr>
            </w:pPr>
            <w:r w:rsidRPr="00307189">
              <w:rPr>
                <w:rFonts w:eastAsia="Times New Roman"/>
                <w:bCs w:val="0"/>
              </w:rPr>
              <w:t>Work Experience Required</w:t>
            </w:r>
          </w:p>
        </w:tc>
      </w:tr>
      <w:tr w:rsidR="00307189" w:rsidRPr="00307189" w:rsidTr="006D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/>
            <w:vAlign w:val="center"/>
          </w:tcPr>
          <w:p w:rsidR="00307189" w:rsidRPr="00307189" w:rsidRDefault="00307189" w:rsidP="006D1188">
            <w:pPr>
              <w:rPr>
                <w:rFonts w:eastAsia="Times New Roman"/>
                <w:color w:val="FFFFFF" w:themeColor="background1"/>
              </w:rPr>
            </w:pPr>
          </w:p>
        </w:tc>
        <w:tc>
          <w:tcPr>
            <w:tcW w:w="2186" w:type="dxa"/>
            <w:vMerge/>
            <w:vAlign w:val="center"/>
          </w:tcPr>
          <w:p w:rsidR="00307189" w:rsidRPr="00307189" w:rsidRDefault="00307189" w:rsidP="003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</w:p>
        </w:tc>
        <w:tc>
          <w:tcPr>
            <w:tcW w:w="2187" w:type="dxa"/>
            <w:vMerge/>
            <w:vAlign w:val="center"/>
          </w:tcPr>
          <w:p w:rsidR="00307189" w:rsidRPr="00307189" w:rsidRDefault="00307189" w:rsidP="003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</w:p>
        </w:tc>
        <w:tc>
          <w:tcPr>
            <w:tcW w:w="2187" w:type="dxa"/>
            <w:vMerge/>
            <w:vAlign w:val="center"/>
          </w:tcPr>
          <w:p w:rsidR="00307189" w:rsidRPr="00307189" w:rsidRDefault="00307189" w:rsidP="003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FFFFFF" w:themeColor="background1"/>
              </w:rPr>
            </w:pPr>
          </w:p>
        </w:tc>
      </w:tr>
      <w:tr w:rsidR="00307189" w:rsidRPr="00307189" w:rsidTr="006D118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noWrap/>
            <w:vAlign w:val="center"/>
          </w:tcPr>
          <w:p w:rsidR="00307189" w:rsidRPr="00307189" w:rsidRDefault="0020309C" w:rsidP="006D1188">
            <w:pPr>
              <w:rPr>
                <w:b w:val="0"/>
              </w:rPr>
            </w:pPr>
            <w:r>
              <w:rPr>
                <w:rFonts w:eastAsia="Times New Roman" w:cs="Arial"/>
                <w:b w:val="0"/>
              </w:rPr>
              <w:t>Paralegals and Legal Assistants</w:t>
            </w:r>
          </w:p>
        </w:tc>
        <w:tc>
          <w:tcPr>
            <w:tcW w:w="2186" w:type="dxa"/>
            <w:vAlign w:val="center"/>
          </w:tcPr>
          <w:p w:rsidR="00307189" w:rsidRPr="00307189" w:rsidRDefault="0020309C" w:rsidP="00307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Associate’s degree</w:t>
            </w:r>
          </w:p>
        </w:tc>
        <w:tc>
          <w:tcPr>
            <w:tcW w:w="2187" w:type="dxa"/>
            <w:vAlign w:val="center"/>
          </w:tcPr>
          <w:p w:rsidR="00307189" w:rsidRPr="00307189" w:rsidRDefault="00C80E52" w:rsidP="00307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None</w:t>
            </w:r>
          </w:p>
        </w:tc>
        <w:tc>
          <w:tcPr>
            <w:tcW w:w="2187" w:type="dxa"/>
            <w:vAlign w:val="center"/>
          </w:tcPr>
          <w:p w:rsidR="00307189" w:rsidRPr="00307189" w:rsidRDefault="00307189" w:rsidP="00307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07189">
              <w:rPr>
                <w:rFonts w:eastAsia="Times New Roman"/>
              </w:rPr>
              <w:t>None</w:t>
            </w:r>
          </w:p>
        </w:tc>
      </w:tr>
      <w:tr w:rsidR="00307189" w:rsidRPr="00307189" w:rsidTr="006D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noWrap/>
            <w:vAlign w:val="center"/>
          </w:tcPr>
          <w:p w:rsidR="00307189" w:rsidRPr="00307189" w:rsidRDefault="0020309C" w:rsidP="006D1188">
            <w:pPr>
              <w:rPr>
                <w:b w:val="0"/>
              </w:rPr>
            </w:pPr>
            <w:r>
              <w:rPr>
                <w:b w:val="0"/>
              </w:rPr>
              <w:t>Legal Secretaries</w:t>
            </w:r>
          </w:p>
        </w:tc>
        <w:tc>
          <w:tcPr>
            <w:tcW w:w="2186" w:type="dxa"/>
            <w:vAlign w:val="center"/>
          </w:tcPr>
          <w:p w:rsidR="00307189" w:rsidRPr="00307189" w:rsidRDefault="00307189" w:rsidP="003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07189">
              <w:rPr>
                <w:rFonts w:eastAsia="Times New Roman"/>
              </w:rPr>
              <w:t>High school diploma or equivalent</w:t>
            </w:r>
          </w:p>
        </w:tc>
        <w:tc>
          <w:tcPr>
            <w:tcW w:w="2187" w:type="dxa"/>
            <w:vAlign w:val="center"/>
          </w:tcPr>
          <w:p w:rsidR="00307189" w:rsidRPr="00307189" w:rsidRDefault="00F310E3" w:rsidP="003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One to</w:t>
            </w:r>
            <w:r w:rsidR="00307189" w:rsidRPr="00307189">
              <w:rPr>
                <w:rFonts w:eastAsia="Times New Roman"/>
              </w:rPr>
              <w:t xml:space="preserve"> 12 month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2187" w:type="dxa"/>
            <w:vAlign w:val="center"/>
          </w:tcPr>
          <w:p w:rsidR="00307189" w:rsidRPr="00307189" w:rsidRDefault="00307189" w:rsidP="003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07189">
              <w:rPr>
                <w:rFonts w:eastAsia="Times New Roman"/>
              </w:rPr>
              <w:t>None</w:t>
            </w:r>
          </w:p>
        </w:tc>
      </w:tr>
    </w:tbl>
    <w:p w:rsidR="00307189" w:rsidRPr="00CB3124" w:rsidRDefault="00307189" w:rsidP="00307189">
      <w:pPr>
        <w:pStyle w:val="Heading2"/>
        <w:spacing w:before="0" w:line="240" w:lineRule="auto"/>
        <w:rPr>
          <w:rFonts w:ascii="Tw Cen MT" w:hAnsi="Tw Cen MT"/>
          <w:b w:val="0"/>
          <w:color w:val="auto"/>
          <w:sz w:val="22"/>
          <w:szCs w:val="22"/>
        </w:rPr>
      </w:pPr>
      <w:r w:rsidRPr="00D13A0F">
        <w:rPr>
          <w:rFonts w:ascii="Tw Cen MT" w:hAnsi="Tw Cen MT"/>
          <w:b w:val="0"/>
          <w:color w:val="auto"/>
          <w:sz w:val="22"/>
          <w:szCs w:val="22"/>
        </w:rPr>
        <w:t>Source: EMSI</w:t>
      </w:r>
      <w:r>
        <w:rPr>
          <w:rFonts w:ascii="Tw Cen MT" w:hAnsi="Tw Cen MT"/>
          <w:b w:val="0"/>
          <w:color w:val="auto"/>
          <w:sz w:val="22"/>
          <w:szCs w:val="22"/>
        </w:rPr>
        <w:t xml:space="preserve"> 2016.4</w:t>
      </w:r>
    </w:p>
    <w:p w:rsidR="0076739D" w:rsidRDefault="0076739D">
      <w:pPr>
        <w:rPr>
          <w:rFonts w:asciiTheme="majorHAnsi" w:eastAsiaTheme="majorEastAsia" w:hAnsiTheme="majorHAnsi" w:cstheme="majorBidi"/>
          <w:b/>
          <w:bCs/>
          <w:color w:val="76410D" w:themeColor="accent3" w:themeShade="80"/>
          <w:sz w:val="28"/>
          <w:szCs w:val="28"/>
        </w:rPr>
      </w:pPr>
      <w:r>
        <w:rPr>
          <w:color w:val="76410D" w:themeColor="accent3" w:themeShade="80"/>
        </w:rPr>
        <w:br w:type="page"/>
      </w:r>
    </w:p>
    <w:p w:rsidR="00F310E3" w:rsidRPr="00F310E3" w:rsidRDefault="00F310E3" w:rsidP="00F310E3">
      <w:pPr>
        <w:pStyle w:val="Heading1"/>
        <w:rPr>
          <w:color w:val="76410D" w:themeColor="accent3" w:themeShade="80"/>
        </w:rPr>
      </w:pPr>
      <w:r w:rsidRPr="00F310E3">
        <w:rPr>
          <w:color w:val="76410D" w:themeColor="accent3" w:themeShade="80"/>
        </w:rPr>
        <w:lastRenderedPageBreak/>
        <w:t>Advertised Skills</w:t>
      </w:r>
    </w:p>
    <w:p w:rsidR="00FB488E" w:rsidRDefault="00FB488E" w:rsidP="00FB488E">
      <w:r>
        <w:t xml:space="preserve">Exhibit 5 lists the top skills requested by employers in online job </w:t>
      </w:r>
      <w:r w:rsidR="00B93D35">
        <w:t>ads</w:t>
      </w:r>
      <w:r>
        <w:t xml:space="preserve"> for each of the occupations in the energy systems techn</w:t>
      </w:r>
      <w:r w:rsidR="00C80E52">
        <w:t xml:space="preserve">ology </w:t>
      </w:r>
      <w:r w:rsidR="002A458C">
        <w:t>occupation cluster in 2015</w:t>
      </w:r>
      <w:r>
        <w:t>.</w:t>
      </w:r>
      <w:r w:rsidR="00B93D35">
        <w:t xml:space="preserve"> Litigation was the highest overall skill required, skills in Microsoft Office, including the Microsoft Word work application was also a required skill in high demand. </w:t>
      </w:r>
    </w:p>
    <w:p w:rsidR="00F310E3" w:rsidRPr="003C45E2" w:rsidRDefault="00FB488E" w:rsidP="00FB488E">
      <w:pPr>
        <w:pStyle w:val="NoSpacing"/>
        <w:spacing w:after="240"/>
        <w:rPr>
          <w:i/>
        </w:rPr>
      </w:pPr>
      <w:r>
        <w:rPr>
          <w:i/>
        </w:rPr>
        <w:t>Exhibit 5</w:t>
      </w:r>
      <w:r w:rsidRPr="00284272">
        <w:rPr>
          <w:i/>
        </w:rPr>
        <w:t xml:space="preserve">. </w:t>
      </w:r>
      <w:r>
        <w:rPr>
          <w:i/>
        </w:rPr>
        <w:t>T</w:t>
      </w:r>
      <w:r w:rsidRPr="002370FB">
        <w:rPr>
          <w:i/>
        </w:rPr>
        <w:t xml:space="preserve">op skills for </w:t>
      </w:r>
      <w:r w:rsidR="00C80E52">
        <w:rPr>
          <w:i/>
        </w:rPr>
        <w:t>legal office</w:t>
      </w:r>
      <w:r w:rsidRPr="002370FB">
        <w:rPr>
          <w:i/>
        </w:rPr>
        <w:t xml:space="preserve"> cluster in </w:t>
      </w:r>
      <w:r w:rsidR="00C80E52" w:rsidRPr="00FE2EB0">
        <w:t>San Bernardino, Riverside, Orange, and Los Angeles counties</w:t>
      </w:r>
    </w:p>
    <w:tbl>
      <w:tblPr>
        <w:tblStyle w:val="ListTable3-Accent4"/>
        <w:tblW w:w="9636" w:type="dxa"/>
        <w:tblBorders>
          <w:top w:val="single" w:sz="8" w:space="0" w:color="743D3D" w:themeColor="accent2" w:themeShade="BF"/>
          <w:left w:val="single" w:sz="8" w:space="0" w:color="743D3D" w:themeColor="accent2" w:themeShade="BF"/>
          <w:bottom w:val="single" w:sz="8" w:space="0" w:color="743D3D" w:themeColor="accent2" w:themeShade="BF"/>
          <w:right w:val="single" w:sz="8" w:space="0" w:color="743D3D" w:themeColor="accent2" w:themeShade="BF"/>
          <w:insideH w:val="single" w:sz="8" w:space="0" w:color="743D3D" w:themeColor="accent2" w:themeShade="BF"/>
          <w:insideV w:val="single" w:sz="8" w:space="0" w:color="743D3D" w:themeColor="accent2" w:themeShade="BF"/>
        </w:tblBorders>
        <w:tblLook w:val="04A0" w:firstRow="1" w:lastRow="0" w:firstColumn="1" w:lastColumn="0" w:noHBand="0" w:noVBand="1"/>
      </w:tblPr>
      <w:tblGrid>
        <w:gridCol w:w="2690"/>
        <w:gridCol w:w="6946"/>
      </w:tblGrid>
      <w:tr w:rsidR="00F310E3" w:rsidRPr="00F310E3" w:rsidTr="00B93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0" w:type="dxa"/>
            <w:tcBorders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310E3" w:rsidRPr="00F310E3" w:rsidRDefault="00F310E3" w:rsidP="00F310E3">
            <w:pPr>
              <w:jc w:val="center"/>
              <w:rPr>
                <w:rFonts w:eastAsia="Times New Roman"/>
                <w:bCs w:val="0"/>
              </w:rPr>
            </w:pPr>
            <w:r w:rsidRPr="00F310E3">
              <w:rPr>
                <w:rFonts w:eastAsia="Times New Roman"/>
                <w:bCs w:val="0"/>
              </w:rPr>
              <w:t>Occupation</w:t>
            </w:r>
          </w:p>
        </w:tc>
        <w:tc>
          <w:tcPr>
            <w:tcW w:w="6946" w:type="dxa"/>
            <w:vAlign w:val="center"/>
          </w:tcPr>
          <w:p w:rsidR="00F310E3" w:rsidRPr="00F310E3" w:rsidRDefault="00F310E3" w:rsidP="00F31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F310E3">
              <w:rPr>
                <w:rFonts w:eastAsia="Times New Roman"/>
              </w:rPr>
              <w:t>Top Skills</w:t>
            </w:r>
          </w:p>
        </w:tc>
      </w:tr>
      <w:tr w:rsidR="00F310E3" w:rsidRPr="00F310E3" w:rsidTr="00B9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310E3" w:rsidRPr="00F310E3" w:rsidRDefault="00C80E52" w:rsidP="00B93D35">
            <w:pPr>
              <w:rPr>
                <w:b w:val="0"/>
              </w:rPr>
            </w:pPr>
            <w:r>
              <w:rPr>
                <w:rFonts w:eastAsia="Times New Roman" w:cs="Arial"/>
                <w:b w:val="0"/>
              </w:rPr>
              <w:t>Paralegals and Legal Assistants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310E3" w:rsidRPr="00F310E3" w:rsidRDefault="00C80E52" w:rsidP="00F3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Litigation, Microsoft Excel, Microsoft Word, Microsoft Office</w:t>
            </w:r>
          </w:p>
        </w:tc>
      </w:tr>
      <w:tr w:rsidR="00F310E3" w:rsidRPr="00F310E3" w:rsidTr="00B93D3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none" w:sz="0" w:space="0" w:color="auto"/>
            </w:tcBorders>
            <w:noWrap/>
            <w:vAlign w:val="center"/>
          </w:tcPr>
          <w:p w:rsidR="00F310E3" w:rsidRPr="00F310E3" w:rsidRDefault="00C80E52" w:rsidP="00B93D35">
            <w:pPr>
              <w:rPr>
                <w:b w:val="0"/>
              </w:rPr>
            </w:pPr>
            <w:r>
              <w:rPr>
                <w:b w:val="0"/>
              </w:rPr>
              <w:t>Legal Secretaries</w:t>
            </w:r>
          </w:p>
        </w:tc>
        <w:tc>
          <w:tcPr>
            <w:tcW w:w="6946" w:type="dxa"/>
            <w:vAlign w:val="center"/>
          </w:tcPr>
          <w:p w:rsidR="00F310E3" w:rsidRPr="00F310E3" w:rsidRDefault="00C80E52" w:rsidP="00F3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Legal support, litigation, Microsoft Word, Administrative support</w:t>
            </w:r>
          </w:p>
        </w:tc>
      </w:tr>
    </w:tbl>
    <w:p w:rsidR="00F310E3" w:rsidRPr="003A4B8B" w:rsidRDefault="00F310E3" w:rsidP="00F310E3">
      <w:pPr>
        <w:pStyle w:val="Heading2"/>
        <w:spacing w:before="0" w:line="240" w:lineRule="auto"/>
        <w:rPr>
          <w:rFonts w:ascii="Tw Cen MT" w:hAnsi="Tw Cen MT"/>
          <w:b w:val="0"/>
          <w:color w:val="auto"/>
          <w:sz w:val="22"/>
          <w:szCs w:val="22"/>
        </w:rPr>
      </w:pPr>
      <w:r w:rsidRPr="003A4B8B">
        <w:rPr>
          <w:rFonts w:ascii="Tw Cen MT" w:hAnsi="Tw Cen MT"/>
          <w:b w:val="0"/>
          <w:color w:val="auto"/>
          <w:sz w:val="22"/>
          <w:szCs w:val="22"/>
        </w:rPr>
        <w:t>Source: Burning Glass</w:t>
      </w:r>
    </w:p>
    <w:p w:rsidR="00B40F7E" w:rsidRDefault="00B40F7E" w:rsidP="00B40F7E">
      <w:pPr>
        <w:spacing w:line="240" w:lineRule="auto"/>
      </w:pPr>
    </w:p>
    <w:p w:rsidR="007F5274" w:rsidRDefault="007F5274" w:rsidP="00B40F7E">
      <w:pPr>
        <w:spacing w:line="240" w:lineRule="auto"/>
      </w:pPr>
    </w:p>
    <w:p w:rsidR="00B40F7E" w:rsidRPr="00EC1869" w:rsidRDefault="00B40F7E" w:rsidP="00B40F7E">
      <w:pPr>
        <w:spacing w:line="240" w:lineRule="auto"/>
      </w:pPr>
      <w:r w:rsidRPr="00EC1869">
        <w:t>Michael Goss, Director</w:t>
      </w:r>
    </w:p>
    <w:p w:rsidR="00B40F7E" w:rsidRPr="00EC1869" w:rsidRDefault="00B40F7E" w:rsidP="00B40F7E">
      <w:pPr>
        <w:spacing w:line="240" w:lineRule="auto"/>
      </w:pPr>
      <w:r w:rsidRPr="00EC1869">
        <w:t>Center of Excellence, Inland Empire/ Desert Region</w:t>
      </w:r>
    </w:p>
    <w:p w:rsidR="00B40F7E" w:rsidRPr="00EC1869" w:rsidRDefault="00194A5A" w:rsidP="00B40F7E">
      <w:pPr>
        <w:spacing w:line="240" w:lineRule="auto"/>
      </w:pPr>
      <w:hyperlink r:id="rId7" w:history="1">
        <w:r w:rsidR="00B40F7E" w:rsidRPr="00EC1869">
          <w:rPr>
            <w:rStyle w:val="Hyperlink"/>
            <w:rFonts w:eastAsiaTheme="majorEastAsia" w:cstheme="majorBidi"/>
            <w:b/>
            <w:bCs/>
          </w:rPr>
          <w:t>michael.goss@chaffey.edu</w:t>
        </w:r>
      </w:hyperlink>
    </w:p>
    <w:p w:rsidR="00B40F7E" w:rsidRPr="00967336" w:rsidRDefault="007F5274" w:rsidP="00B40F7E">
      <w:pPr>
        <w:spacing w:line="240" w:lineRule="auto"/>
      </w:pPr>
      <w:r>
        <w:t>January 2017</w:t>
      </w:r>
    </w:p>
    <w:p w:rsidR="00CD6CFF" w:rsidRPr="009E7141" w:rsidRDefault="00CD6CFF" w:rsidP="009E7141">
      <w:pPr>
        <w:rPr>
          <w:rFonts w:eastAsiaTheme="majorEastAsia" w:cstheme="majorBidi"/>
        </w:rPr>
      </w:pPr>
    </w:p>
    <w:sectPr w:rsidR="00CD6CFF" w:rsidRPr="009E71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5A" w:rsidRDefault="00194A5A" w:rsidP="00025662">
      <w:pPr>
        <w:spacing w:after="0" w:line="240" w:lineRule="auto"/>
      </w:pPr>
      <w:r>
        <w:separator/>
      </w:r>
    </w:p>
  </w:endnote>
  <w:endnote w:type="continuationSeparator" w:id="0">
    <w:p w:rsidR="00194A5A" w:rsidRDefault="00194A5A" w:rsidP="0002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585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C04" w:rsidRDefault="00275C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C04" w:rsidRDefault="002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5A" w:rsidRDefault="00194A5A" w:rsidP="00025662">
      <w:pPr>
        <w:spacing w:after="0" w:line="240" w:lineRule="auto"/>
      </w:pPr>
      <w:r>
        <w:separator/>
      </w:r>
    </w:p>
  </w:footnote>
  <w:footnote w:type="continuationSeparator" w:id="0">
    <w:p w:rsidR="00194A5A" w:rsidRDefault="00194A5A" w:rsidP="0002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62" w:rsidRDefault="00025662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2533650" cy="6174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Logo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761" cy="61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62"/>
    <w:rsid w:val="000002EB"/>
    <w:rsid w:val="00015B2D"/>
    <w:rsid w:val="00025662"/>
    <w:rsid w:val="0005026D"/>
    <w:rsid w:val="000535D6"/>
    <w:rsid w:val="000539B7"/>
    <w:rsid w:val="000748D0"/>
    <w:rsid w:val="00076772"/>
    <w:rsid w:val="00082E55"/>
    <w:rsid w:val="000B693A"/>
    <w:rsid w:val="000C1D8F"/>
    <w:rsid w:val="000C6F0B"/>
    <w:rsid w:val="00152A31"/>
    <w:rsid w:val="00157414"/>
    <w:rsid w:val="00194A5A"/>
    <w:rsid w:val="001B0C27"/>
    <w:rsid w:val="001E665D"/>
    <w:rsid w:val="0020309C"/>
    <w:rsid w:val="0021241E"/>
    <w:rsid w:val="00275C04"/>
    <w:rsid w:val="002A458C"/>
    <w:rsid w:val="002A46BC"/>
    <w:rsid w:val="002C5BCE"/>
    <w:rsid w:val="002C695D"/>
    <w:rsid w:val="00307189"/>
    <w:rsid w:val="003C3040"/>
    <w:rsid w:val="003F35BC"/>
    <w:rsid w:val="0041077E"/>
    <w:rsid w:val="00436FAD"/>
    <w:rsid w:val="004A0BB3"/>
    <w:rsid w:val="004B3B5D"/>
    <w:rsid w:val="004E6365"/>
    <w:rsid w:val="005572E9"/>
    <w:rsid w:val="005B032F"/>
    <w:rsid w:val="00610B9A"/>
    <w:rsid w:val="00615F6B"/>
    <w:rsid w:val="00665381"/>
    <w:rsid w:val="006A3C32"/>
    <w:rsid w:val="006C28EE"/>
    <w:rsid w:val="006D1188"/>
    <w:rsid w:val="0070082B"/>
    <w:rsid w:val="0070484B"/>
    <w:rsid w:val="00742678"/>
    <w:rsid w:val="0076739D"/>
    <w:rsid w:val="007E152D"/>
    <w:rsid w:val="007F5274"/>
    <w:rsid w:val="008904DD"/>
    <w:rsid w:val="008B2CF4"/>
    <w:rsid w:val="008B4B8A"/>
    <w:rsid w:val="008B6B1B"/>
    <w:rsid w:val="008F23E9"/>
    <w:rsid w:val="00916A44"/>
    <w:rsid w:val="009675E1"/>
    <w:rsid w:val="00972DA6"/>
    <w:rsid w:val="009E7141"/>
    <w:rsid w:val="00A0015B"/>
    <w:rsid w:val="00A01D26"/>
    <w:rsid w:val="00A234ED"/>
    <w:rsid w:val="00A342FC"/>
    <w:rsid w:val="00A62754"/>
    <w:rsid w:val="00AE4202"/>
    <w:rsid w:val="00B40F7E"/>
    <w:rsid w:val="00B458AF"/>
    <w:rsid w:val="00B54709"/>
    <w:rsid w:val="00B54D04"/>
    <w:rsid w:val="00B93D35"/>
    <w:rsid w:val="00B940E0"/>
    <w:rsid w:val="00C01BB0"/>
    <w:rsid w:val="00C36191"/>
    <w:rsid w:val="00C607C3"/>
    <w:rsid w:val="00C64874"/>
    <w:rsid w:val="00C80E52"/>
    <w:rsid w:val="00C90067"/>
    <w:rsid w:val="00CC3215"/>
    <w:rsid w:val="00CC46A1"/>
    <w:rsid w:val="00CD6CFF"/>
    <w:rsid w:val="00CF449B"/>
    <w:rsid w:val="00D74C75"/>
    <w:rsid w:val="00E31FAC"/>
    <w:rsid w:val="00EA6225"/>
    <w:rsid w:val="00EB3506"/>
    <w:rsid w:val="00F049E5"/>
    <w:rsid w:val="00F310E3"/>
    <w:rsid w:val="00F47FCD"/>
    <w:rsid w:val="00F97098"/>
    <w:rsid w:val="00FB488E"/>
    <w:rsid w:val="00FE2EB0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B8496-CC1E-4FFA-865A-C4747E41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81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66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5662"/>
  </w:style>
  <w:style w:type="paragraph" w:styleId="Footer">
    <w:name w:val="footer"/>
    <w:basedOn w:val="Normal"/>
    <w:link w:val="FooterChar"/>
    <w:uiPriority w:val="99"/>
    <w:unhideWhenUsed/>
    <w:rsid w:val="0002566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5662"/>
  </w:style>
  <w:style w:type="paragraph" w:styleId="BalloonText">
    <w:name w:val="Balloon Text"/>
    <w:basedOn w:val="Normal"/>
    <w:link w:val="BalloonTextChar"/>
    <w:uiPriority w:val="99"/>
    <w:semiHidden/>
    <w:unhideWhenUsed/>
    <w:rsid w:val="0002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01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015B"/>
  </w:style>
  <w:style w:type="paragraph" w:styleId="FootnoteText">
    <w:name w:val="footnote text"/>
    <w:basedOn w:val="Normal"/>
    <w:link w:val="FootnoteTextChar"/>
    <w:uiPriority w:val="99"/>
    <w:semiHidden/>
    <w:unhideWhenUsed/>
    <w:rsid w:val="008B2CF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C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E665D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NoSpacing">
    <w:name w:val="No Spacing"/>
    <w:uiPriority w:val="1"/>
    <w:qFormat/>
    <w:rsid w:val="001E665D"/>
    <w:pPr>
      <w:spacing w:after="0" w:line="240" w:lineRule="auto"/>
    </w:pPr>
  </w:style>
  <w:style w:type="table" w:styleId="MediumShading1-Accent3">
    <w:name w:val="Medium Shading 1 Accent 3"/>
    <w:basedOn w:val="TableNormal"/>
    <w:uiPriority w:val="63"/>
    <w:rsid w:val="001E665D"/>
    <w:pPr>
      <w:spacing w:after="0" w:line="240" w:lineRule="auto"/>
    </w:pPr>
    <w:tblPr>
      <w:tblStyleRowBandSize w:val="1"/>
      <w:tblStyleColBandSize w:val="1"/>
      <w:tblBorders>
        <w:top w:val="single" w:sz="8" w:space="0" w:color="ECA259" w:themeColor="accent3" w:themeTint="BF"/>
        <w:left w:val="single" w:sz="8" w:space="0" w:color="ECA259" w:themeColor="accent3" w:themeTint="BF"/>
        <w:bottom w:val="single" w:sz="8" w:space="0" w:color="ECA259" w:themeColor="accent3" w:themeTint="BF"/>
        <w:right w:val="single" w:sz="8" w:space="0" w:color="ECA259" w:themeColor="accent3" w:themeTint="BF"/>
        <w:insideH w:val="single" w:sz="8" w:space="0" w:color="ECA25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A259" w:themeColor="accent3" w:themeTint="BF"/>
          <w:left w:val="single" w:sz="8" w:space="0" w:color="ECA259" w:themeColor="accent3" w:themeTint="BF"/>
          <w:bottom w:val="single" w:sz="8" w:space="0" w:color="ECA259" w:themeColor="accent3" w:themeTint="BF"/>
          <w:right w:val="single" w:sz="8" w:space="0" w:color="ECA259" w:themeColor="accent3" w:themeTint="BF"/>
          <w:insideH w:val="nil"/>
          <w:insideV w:val="nil"/>
        </w:tcBorders>
        <w:shd w:val="clear" w:color="auto" w:fill="E684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A259" w:themeColor="accent3" w:themeTint="BF"/>
          <w:left w:val="single" w:sz="8" w:space="0" w:color="ECA259" w:themeColor="accent3" w:themeTint="BF"/>
          <w:bottom w:val="single" w:sz="8" w:space="0" w:color="ECA259" w:themeColor="accent3" w:themeTint="BF"/>
          <w:right w:val="single" w:sz="8" w:space="0" w:color="ECA25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0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665D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65D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65D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665D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5381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table" w:styleId="TableGrid">
    <w:name w:val="Table Grid"/>
    <w:basedOn w:val="TableNormal"/>
    <w:uiPriority w:val="59"/>
    <w:rsid w:val="00665381"/>
    <w:pPr>
      <w:spacing w:after="0" w:line="240" w:lineRule="auto"/>
    </w:pPr>
    <w:rPr>
      <w:rFonts w:ascii="Tw Cen MT" w:hAnsi="Tw Cen MT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6653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5381"/>
    <w:rPr>
      <w:rFonts w:ascii="Tw Cen MT" w:hAnsi="Tw Cen MT"/>
      <w:i/>
      <w:iCs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3506"/>
    <w:rPr>
      <w:i/>
      <w:iCs/>
    </w:rPr>
  </w:style>
  <w:style w:type="table" w:styleId="ListTable3-Accent4">
    <w:name w:val="List Table 3 Accent 4"/>
    <w:basedOn w:val="TableNormal"/>
    <w:uiPriority w:val="48"/>
    <w:rsid w:val="006C28EE"/>
    <w:pPr>
      <w:spacing w:after="0" w:line="240" w:lineRule="auto"/>
    </w:pPr>
    <w:tblPr>
      <w:tblStyleRowBandSize w:val="1"/>
      <w:tblStyleColBandSize w:val="1"/>
      <w:tblBorders>
        <w:top w:val="single" w:sz="4" w:space="0" w:color="846648" w:themeColor="accent4"/>
        <w:left w:val="single" w:sz="4" w:space="0" w:color="846648" w:themeColor="accent4"/>
        <w:bottom w:val="single" w:sz="4" w:space="0" w:color="846648" w:themeColor="accent4"/>
        <w:right w:val="single" w:sz="4" w:space="0" w:color="8466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6648" w:themeFill="accent4"/>
      </w:tcPr>
    </w:tblStylePr>
    <w:tblStylePr w:type="lastRow">
      <w:rPr>
        <w:b/>
        <w:bCs/>
      </w:rPr>
      <w:tblPr/>
      <w:tcPr>
        <w:tcBorders>
          <w:top w:val="double" w:sz="4" w:space="0" w:color="8466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6648" w:themeColor="accent4"/>
          <w:right w:val="single" w:sz="4" w:space="0" w:color="846648" w:themeColor="accent4"/>
        </w:tcBorders>
      </w:tcPr>
    </w:tblStylePr>
    <w:tblStylePr w:type="band1Horz">
      <w:tblPr/>
      <w:tcPr>
        <w:tcBorders>
          <w:top w:val="single" w:sz="4" w:space="0" w:color="846648" w:themeColor="accent4"/>
          <w:bottom w:val="single" w:sz="4" w:space="0" w:color="8466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6648" w:themeColor="accent4"/>
          <w:left w:val="nil"/>
        </w:tcBorders>
      </w:tcPr>
    </w:tblStylePr>
    <w:tblStylePr w:type="swCell">
      <w:tblPr/>
      <w:tcPr>
        <w:tcBorders>
          <w:top w:val="double" w:sz="4" w:space="0" w:color="846648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goss@chaffey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CC5E-8C52-4004-8B0A-1192C8DC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Goss</dc:creator>
  <cp:lastModifiedBy>Marie Boyd</cp:lastModifiedBy>
  <cp:revision>2</cp:revision>
  <dcterms:created xsi:type="dcterms:W3CDTF">2017-04-05T19:48:00Z</dcterms:created>
  <dcterms:modified xsi:type="dcterms:W3CDTF">2017-04-05T19:48:00Z</dcterms:modified>
</cp:coreProperties>
</file>